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emf" ContentType="image/x-emf"/>
  <Default Extension="rtf" ContentType="application/rtf"/>
  <Default Extension="png" ContentType="image/png"/>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1"/>
        <w:tblW w:w="0" w:type="dxa"/>
        <w:tblLayout w:type="fixed"/>
        <w:tblCellMar>
          <w:top w:w="0" w:type="dxa"/>
          <w:left w:w="0" w:type="dxa"/>
          <w:bottom w:w="0" w:type="dxa"/>
          <w:right w:w="0" w:type="dxa"/>
        </w:tblCellMar>
        <w:tblLook w:val="04A0"/>
      </w:tblPr>
      <w:tblGrid>
        <w:gridCol w:w="143"/>
        <w:gridCol w:w="287"/>
        <w:gridCol w:w="143"/>
        <w:gridCol w:w="430"/>
        <w:gridCol w:w="3152"/>
        <w:gridCol w:w="430"/>
        <w:gridCol w:w="430"/>
        <w:gridCol w:w="143"/>
        <w:gridCol w:w="287"/>
        <w:gridCol w:w="716"/>
        <w:gridCol w:w="287"/>
        <w:gridCol w:w="429"/>
        <w:gridCol w:w="574"/>
        <w:gridCol w:w="143"/>
        <w:gridCol w:w="716"/>
        <w:gridCol w:w="430"/>
        <w:gridCol w:w="287"/>
        <w:gridCol w:w="286"/>
        <w:gridCol w:w="430"/>
        <w:gridCol w:w="143"/>
        <w:gridCol w:w="1147"/>
        <w:gridCol w:w="859"/>
        <w:gridCol w:w="287"/>
        <w:gridCol w:w="1003"/>
        <w:gridCol w:w="143"/>
        <w:gridCol w:w="430"/>
        <w:gridCol w:w="716"/>
        <w:gridCol w:w="860"/>
        <w:gridCol w:w="272"/>
        <w:gridCol w:w="15"/>
      </w:tblGrid>
      <w:tr>
        <w:trPr>
          <w:trHeight w:hRule="exact" w:val="1003"/>
        </w:trPr>
        <w:tc>
          <w:tcPr>
            <w:tcW w:w="15618" w:type="dxa"/>
            <w:gridSpan w:val="30"/>
          </w:tcPr>
          <w:p/>
        </w:tc>
      </w:tr>
      <w:tr>
        <w:trPr>
          <w:trHeight w:hRule="exact" w:val="387"/>
        </w:trPr>
        <w:tc>
          <w:tcPr>
            <w:tcW w:w="15618" w:type="dxa"/>
            <w:gridSpan w:val="30"/>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П А С П О Р Т</w:t>
            </w:r>
          </w:p>
        </w:tc>
      </w:tr>
      <w:tr>
        <w:trPr>
          <w:trHeight w:hRule="exact" w:val="43"/>
        </w:trPr>
        <w:tc>
          <w:tcPr>
            <w:tcW w:w="15618" w:type="dxa"/>
            <w:gridSpan w:val="30"/>
          </w:tcPr>
          <w:p/>
        </w:tc>
      </w:tr>
      <w:tr>
        <w:trPr>
          <w:trHeight w:hRule="exact" w:val="387"/>
        </w:trPr>
        <w:tc>
          <w:tcPr>
            <w:tcW w:w="15618" w:type="dxa"/>
            <w:gridSpan w:val="30"/>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регионального проекта</w:t>
            </w:r>
          </w:p>
        </w:tc>
      </w:tr>
      <w:tr>
        <w:trPr>
          <w:trHeight w:hRule="exact" w:val="43"/>
        </w:trPr>
        <w:tc>
          <w:tcPr>
            <w:tcW w:w="15618" w:type="dxa"/>
            <w:gridSpan w:val="30"/>
          </w:tcPr>
          <w:p/>
        </w:tc>
      </w:tr>
      <w:tr>
        <w:trPr>
          <w:trHeight w:hRule="exact" w:val="644"/>
        </w:trPr>
        <w:tc>
          <w:tcPr>
            <w:tcW w:w="15618" w:type="dxa"/>
            <w:gridSpan w:val="30"/>
            <w:tcMar>
              <w:left w:w="72" w:type="dxa"/>
              <w:right w:w="72" w:type="dxa"/>
            </w:tcMar>
            <w:vAlign w:val="center"/>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Формирование системы мотивации граждан к здоровому образу жизни, включая здоровое питание и отказ от вредных привычек  (Ямало-Ненецкий автономный округ)</w:t>
            </w:r>
          </w:p>
        </w:tc>
      </w:tr>
      <w:tr>
        <w:trPr>
          <w:trHeight w:hRule="exact" w:val="717"/>
        </w:trPr>
        <w:tc>
          <w:tcPr>
            <w:tcW w:w="15618" w:type="dxa"/>
            <w:gridSpan w:val="30"/>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1. Основные положения</w:t>
            </w:r>
          </w:p>
        </w:tc>
      </w:tr>
      <w:tr>
        <w:trPr>
          <w:trHeight w:hRule="exact" w:val="716"/>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федерального проекта</w:t>
            </w:r>
          </w:p>
        </w:tc>
        <w:tc>
          <w:tcPr>
            <w:tcW w:w="11033" w:type="dxa"/>
            <w:gridSpan w:val="2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Формирование системы мотивации граждан к здоровому образу жизни, включая здоровое питание и отказ от вредных привычек </w:t>
            </w:r>
          </w:p>
        </w:tc>
      </w:tr>
      <w:tr>
        <w:trPr>
          <w:trHeight w:hRule="exact" w:val="717"/>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Краткое наименование регионального</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Укрепление общественного здоровья (Ямало-Ненецкий автономный округ)</w:t>
            </w:r>
          </w:p>
        </w:tc>
        <w:tc>
          <w:tcPr>
            <w:tcW w:w="2579"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 реализации проекта</w:t>
            </w:r>
          </w:p>
        </w:tc>
        <w:tc>
          <w:tcPr>
            <w:tcW w:w="1863"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01.01.2019</w:t>
            </w:r>
          </w:p>
        </w:tc>
        <w:tc>
          <w:tcPr>
            <w:tcW w:w="1863"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r>
      <w:tr>
        <w:trPr>
          <w:trHeight w:hRule="exact" w:val="716"/>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Куратор регионального 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Т.В.</w:t>
            </w:r>
          </w:p>
        </w:tc>
        <w:tc>
          <w:tcPr>
            <w:tcW w:w="6305"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Губернатора Ямало-Ненецкого автономного округа</w:t>
            </w:r>
          </w:p>
        </w:tc>
      </w:tr>
      <w:tr>
        <w:trPr>
          <w:trHeight w:hRule="exact" w:val="716"/>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регионального 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С.В.</w:t>
            </w:r>
          </w:p>
        </w:tc>
        <w:tc>
          <w:tcPr>
            <w:tcW w:w="6305"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r>
      <w:tr>
        <w:trPr>
          <w:trHeight w:hRule="exact" w:val="1247"/>
        </w:trPr>
        <w:tc>
          <w:tcPr>
            <w:tcW w:w="4585" w:type="dxa"/>
            <w:gridSpan w:val="6"/>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Администратор регионального проекта</w:t>
            </w:r>
          </w:p>
        </w:tc>
        <w:tc>
          <w:tcPr>
            <w:tcW w:w="4728"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К.М., Швецов И.В.</w:t>
            </w:r>
          </w:p>
        </w:tc>
        <w:tc>
          <w:tcPr>
            <w:tcW w:w="6305" w:type="dxa"/>
            <w:gridSpan w:val="12"/>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Первый заместитель директора департамента здравоохранения Ямало-Ненецкого автономного округа, Первый заместитель директора департамента здравоохранения Ямало-Ненецкого автономного округа</w:t>
            </w:r>
          </w:p>
        </w:tc>
      </w:tr>
      <w:tr>
        <w:trPr>
          <w:trHeight w:hRule="exact" w:val="716"/>
        </w:trPr>
        <w:tc>
          <w:tcPr>
            <w:tcW w:w="4585" w:type="dxa"/>
            <w:gridSpan w:val="6"/>
            <w:vMerge w:val="restart"/>
            <w:tcMar>
              <w:lef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Связь с государственными программами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Российской Федерации</w:t>
            </w:r>
          </w:p>
        </w:tc>
        <w:tc>
          <w:tcPr>
            <w:tcW w:w="430"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4298" w:type="dxa"/>
            <w:gridSpan w:val="11"/>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Государственная программа</w:t>
            </w:r>
          </w:p>
        </w:tc>
        <w:tc>
          <w:tcPr>
            <w:tcW w:w="6305" w:type="dxa"/>
            <w:gridSpan w:val="1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Государственная программа Ямало-Ненецкого автономного округа "Развитие здравоохранения на 2014-2024 годы"</w:t>
            </w:r>
          </w:p>
        </w:tc>
      </w:tr>
      <w:tr>
        <w:trPr>
          <w:trHeight w:hRule="exact" w:val="975"/>
        </w:trPr>
        <w:tc>
          <w:tcPr>
            <w:tcW w:w="4585"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3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298" w:type="dxa"/>
            <w:gridSpan w:val="11"/>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Подпрограмма</w:t>
            </w:r>
          </w:p>
        </w:tc>
        <w:tc>
          <w:tcPr>
            <w:tcW w:w="6305" w:type="dxa"/>
            <w:gridSpan w:val="12"/>
            <w:tcMar>
              <w:top w:w="72" w:type="dxa"/>
              <w:left w:w="72" w:type="dxa"/>
              <w:right w:w="72" w:type="dxa"/>
            </w:tcMar>
            <w:vAlign w:val="bottom"/>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Профилактика заболеваний и формирование здорового образа жизни. Развитие первичной медико-санитарной помощи</w:t>
            </w:r>
          </w:p>
        </w:tc>
      </w:tr>
      <w:tr>
        <w:trPr>
          <w:trHeight w:hRule="exact" w:val="429"/>
        </w:trPr>
        <w:tc>
          <w:tcPr>
            <w:tcW w:w="15618" w:type="dxa"/>
            <w:gridSpan w:val="30"/>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r>
      <w:tr>
        <w:trPr>
          <w:trHeight w:hRule="exact" w:val="144"/>
        </w:trPr>
        <w:tc>
          <w:tcPr>
            <w:tcW w:w="143" w:type="dxa"/>
            <w:vAlign w:val="center"/>
            <w:shd w:val="clear" w:color="auto" w:fill="auto"/>
          </w:tcPr>
          <w:p>
            <w:pPr>
              <w:spacing w:line="230"/>
              <w:jc w:val="center"/>
              <w:rPr>
                <w:rFonts w:ascii="Times New Roman" w:hAnsi="Times New Roman" w:eastAsia="Times New Roman" w:cs="Times New Roman"/>
                <w:color w:val="000000"/>
                <w:sz w:val="28"/>
                <w:spacing w:val="-2"/>
              </w:rPr>
            </w:pPr>
          </w:p>
        </w:tc>
        <w:tc>
          <w:tcPr>
            <w:tcW w:w="860" w:type="dxa"/>
            <w:gridSpan w:val="3"/>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615" w:type="dxa"/>
            <w:gridSpan w:val="26"/>
            <w:vAlign w:val="center"/>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286"/>
        </w:trPr>
        <w:tc>
          <w:tcPr>
            <w:tcW w:w="14471" w:type="dxa"/>
            <w:gridSpan w:val="27"/>
            <w:vAlign w:val="center"/>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2. Цель и показатели регионального проекта</w:t>
            </w:r>
          </w:p>
        </w:tc>
        <w:tc>
          <w:tcPr>
            <w:tcW w:w="860" w:type="dxa"/>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1</w:t>
            </w:r>
          </w:p>
        </w:tc>
        <w:tc>
          <w:tcPr>
            <w:tcW w:w="287" w:type="dxa"/>
            <w:gridSpan w:val="2"/>
            <w:vAlign w:val="center"/>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144"/>
        </w:trPr>
        <w:tc>
          <w:tcPr>
            <w:tcW w:w="15618" w:type="dxa"/>
            <w:gridSpan w:val="30"/>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444"/>
        </w:trPr>
        <w:tc>
          <w:tcPr>
            <w:tcW w:w="15618" w:type="dxa"/>
            <w:gridSpan w:val="3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Увеличение доли граждан, ведущих здоровый образ жизни (Ямало-Ненецкий автономный округ)</w:t>
            </w:r>
          </w:p>
        </w:tc>
      </w:tr>
      <w:tr>
        <w:trPr>
          <w:trHeight w:hRule="exact" w:val="573"/>
        </w:trPr>
        <w:tc>
          <w:tcPr>
            <w:tcW w:w="430"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728"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показателя</w:t>
            </w:r>
          </w:p>
        </w:tc>
        <w:tc>
          <w:tcPr>
            <w:tcW w:w="1290"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(по ОКЕИ)</w:t>
            </w:r>
          </w:p>
        </w:tc>
        <w:tc>
          <w:tcPr>
            <w:tcW w:w="2292" w:type="dxa"/>
            <w:gridSpan w:val="5"/>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Базовое значение</w:t>
            </w:r>
          </w:p>
        </w:tc>
        <w:tc>
          <w:tcPr>
            <w:tcW w:w="6878" w:type="dxa"/>
            <w:gridSpan w:val="1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r>
      <w:tr>
        <w:trPr>
          <w:trHeight w:hRule="exact" w:val="573"/>
        </w:trPr>
        <w:tc>
          <w:tcPr>
            <w:tcW w:w="430"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728"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00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значение</w:t>
            </w:r>
          </w:p>
        </w:tc>
        <w:tc>
          <w:tcPr>
            <w:tcW w:w="1289"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дата</w:t>
            </w:r>
          </w:p>
        </w:tc>
        <w:tc>
          <w:tcPr>
            <w:tcW w:w="1146" w:type="dxa"/>
            <w:gridSpan w:val="4"/>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147"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14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147" w:type="dxa"/>
            <w:gridSpan w:val="3"/>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r>
      <w:tr>
        <w:trPr>
          <w:trHeight w:hRule="exact" w:val="1247"/>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Розничные продажи алкогольной продукции на душу населения (в литрах этанола)</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Литр чистого (100%) спирта</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8,4000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31.12.2016</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8,0000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7,9000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7,8000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7,7000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7,6000</w:t>
            </w:r>
          </w:p>
        </w:tc>
      </w:tr>
      <w:tr>
        <w:trPr>
          <w:trHeight w:hRule="exact" w:val="974"/>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Смертность женщин в возрасте  16-54 лет </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100 тысяч человек</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146,8000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31.12.2017</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145,3000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144,6000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143,0000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142,0000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141,0000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140,0000</w:t>
            </w:r>
          </w:p>
        </w:tc>
      </w:tr>
      <w:tr>
        <w:trPr>
          <w:trHeight w:hRule="exact" w:val="974"/>
        </w:trPr>
        <w:tc>
          <w:tcPr>
            <w:tcW w:w="430"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4728" w:type="dxa"/>
            <w:gridSpan w:val="6"/>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Смертность мужчин в возрасте  16-59 лет </w:t>
            </w:r>
          </w:p>
        </w:tc>
        <w:tc>
          <w:tcPr>
            <w:tcW w:w="1290"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100 тысяч человек</w:t>
            </w:r>
          </w:p>
        </w:tc>
        <w:tc>
          <w:tcPr>
            <w:tcW w:w="1003"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591,0000</w:t>
            </w:r>
          </w:p>
        </w:tc>
        <w:tc>
          <w:tcPr>
            <w:tcW w:w="1289"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31.12.2017</w:t>
            </w:r>
          </w:p>
        </w:tc>
        <w:tc>
          <w:tcPr>
            <w:tcW w:w="1146" w:type="dxa"/>
            <w:gridSpan w:val="4"/>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540,0000</w:t>
            </w:r>
          </w:p>
        </w:tc>
        <w:tc>
          <w:tcPr>
            <w:tcW w:w="1147" w:type="dxa"/>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527,0000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520,5000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500,0000</w:t>
            </w:r>
          </w:p>
        </w:tc>
        <w:tc>
          <w:tcPr>
            <w:tcW w:w="1146" w:type="dxa"/>
            <w:gridSpan w:val="2"/>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486,0000</w:t>
            </w:r>
          </w:p>
        </w:tc>
        <w:tc>
          <w:tcPr>
            <w:tcW w:w="1147" w:type="dxa"/>
            <w:gridSpan w:val="3"/>
            <w:tcMar>
              <w:top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470,0000</w:t>
            </w:r>
          </w:p>
        </w:tc>
      </w:tr>
      <w:tr>
        <w:trPr>
          <w:trHeight w:hRule="exact" w:val="430"/>
        </w:trPr>
        <w:tc>
          <w:tcPr>
            <w:tcW w:w="15618" w:type="dxa"/>
            <w:gridSpan w:val="30"/>
            <w:tcBorders>
              <w:top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r>
      <w:tr>
        <w:trPr>
          <w:trHeight w:hRule="exact" w:val="573"/>
        </w:trPr>
        <w:tc>
          <w:tcPr>
            <w:tcW w:w="15618" w:type="dxa"/>
            <w:gridSpan w:val="30"/>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3. Задачи и результаты регионального проекта</w:t>
            </w:r>
          </w:p>
        </w:tc>
      </w:tr>
      <w:tr>
        <w:trPr>
          <w:trHeight w:hRule="exact" w:val="573"/>
        </w:trPr>
        <w:tc>
          <w:tcPr>
            <w:tcW w:w="573" w:type="dxa"/>
            <w:gridSpan w:val="3"/>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58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задачи, результата</w:t>
            </w:r>
          </w:p>
        </w:tc>
        <w:tc>
          <w:tcPr>
            <w:tcW w:w="1290" w:type="dxa"/>
            <w:gridSpan w:val="4"/>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 (по ОКЕИ)</w:t>
            </w:r>
          </w:p>
        </w:tc>
        <w:tc>
          <w:tcPr>
            <w:tcW w:w="4298" w:type="dxa"/>
            <w:gridSpan w:val="10"/>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Период, год</w:t>
            </w:r>
          </w:p>
        </w:tc>
        <w:tc>
          <w:tcPr>
            <w:tcW w:w="3439" w:type="dxa"/>
            <w:gridSpan w:val="5"/>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Характеристика результата</w:t>
            </w:r>
          </w:p>
        </w:tc>
        <w:tc>
          <w:tcPr>
            <w:tcW w:w="2436" w:type="dxa"/>
            <w:gridSpan w:val="6"/>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Тип результата</w:t>
            </w:r>
          </w:p>
        </w:tc>
      </w:tr>
      <w:tr>
        <w:trPr>
          <w:trHeight w:hRule="exact" w:val="573"/>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3439" w:type="dxa"/>
            <w:gridSpan w:val="5"/>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7"/>
        </w:trPr>
        <w:tc>
          <w:tcPr>
            <w:tcW w:w="15618" w:type="dxa"/>
            <w:gridSpan w:val="3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Задача национального проекта (справочно из паспорта федерального проекта): Формирование системы мотивации граждан к здоровому образу жизни, включая здоровое питание и отказ от вредных привычек </w:t>
            </w:r>
            <w:r>
              <w:rPr>
                <w:color w:val="FFFFFF"/>
                <w:sz w:val="7.5"/>
                <w:szCs w:val="7.5"/>
                <w:rFonts w:ascii="Times New Roman" w:hAnsi="Times New Roman" w:eastAsia="Times New Roman" w:cs="Times New Roman"/>
                <w:spacing w:val="-2"/>
              </w:rPr>
              <w:t xml:space="preserve">0</w:t>
            </w:r>
          </w:p>
          <w:p/>
        </w:tc>
      </w:tr>
      <w:tr>
        <w:trPr>
          <w:trHeight w:hRule="exact" w:val="286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 Ямало-Ненецком автономном округе обеспечено внедрение модели организации и функционирования Центра общественного здоровья.</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Разработка и утверждение модели организации и функционирования Центра общественного здоровья,  с учётом требований к штатной численности и оснащению в соответствии с Приказом Минздрава России. Внедрение новой модели организации и функционирования Центра общественного здоровья на базе государственного бюджетного учреждения здравоохранения Ямало-Ненецкого автономного округа (далее-ГБУЗ ЯНАО) «Центр медицинской профилактики» путем его преобразования, включая обновленные требования к структуре и функциям центра общественного здоровья, учетно-отчетной документации.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56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6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89"/>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Внедрены корпоративные программы, содержащие наилучшие практики по укреплению здоровья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Проведение информационно-разъяснительной работы с работодателями в целях внедрения корпоративных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r>
      <w:tr>
        <w:trPr>
          <w:trHeight w:hRule="exact" w:val="1677"/>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работников в муниципальных образованиях Ямало-Ненецкого автономного округа. </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программ по укреплению здоровья работников. Внедрение модельной корпоративной программы укрепления здоровья на одном пилотном предприятии Ямало-Ненецкого автономного округа. Отчет о внедрении корпоративной программы, содержащей наилучшие практики по укреплению здоровья работников.</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76"/>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Все муниципальные образований Ямало-Ненецкого автономного округа (100%) внедрили муниципальные программы по укреплению общественного здоровья.</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Процент</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60</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80</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100</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Разработка модельной муниципальной программы по укреплению общественного здоровья; разработка модельной муниципальной программы, направленной на профилактику и раннюю диагностику заболеваний мужской репродуктивной сферы; разработка модельной региональной и муниципальной программы по первичной профилактике заболеваний полости рта. Утверждение муниципальных программ по укреплению общественного здоровья.   Во всех муниципальных образованиях осуществлено внедрение утвержденных в установленном порядке муниципальных программ по укреплению общественного здоровья,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74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48"/>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r>
      <w:tr>
        <w:trPr>
          <w:trHeight w:hRule="exact" w:val="1548"/>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включающих мероприятия по снижению действия основных факторов риска неинфекционных заболеваний (далее-НИЗ), первичной профилактике заболеваний полости рта, а также мероприятий, направленных на профилактику заболеваний репродуктивной сферы у мужчин.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33"/>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Доля аудитории граждан старше 12 лет, охваченной коммуникационной кампанией по основным каналам: телевидение, радио и в информационно-телекоммуникационной сети «Интернет».</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Процент</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70</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Проведение информационно-коммуникационной кампании, направленной на пропаганду сокращения потребления алкоголя; сокращения потребления табака,  а также иных форм потребления никотина; пропаганду ответственного отношения к рациону питания; пропаганду ответственного отношения к репродуктивному здоровью и повышение приверженности вакцинации, при методическом сопровождении Центра медицинской профилактики.   Выпуск в эфир не менее 1000 телевизионных и радио программ; тиражирование не менее 100 000 экземпляров информационных материалов по пропаганде здорового образа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Проведение информационно-коммуникационной кампании</w:t>
            </w:r>
          </w:p>
          <w:p/>
        </w:tc>
      </w:tr>
      <w:tr>
        <w:trPr>
          <w:trHeight w:hRule="exact" w:val="1677"/>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6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r>
      <w:tr>
        <w:trPr>
          <w:trHeight w:hRule="exact" w:val="286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жизни. Создание и обслуживание интернет-портала, посвященного здоровому образу жизни для населения  ЯНАО и обеспечение его посещаемости. Проведение массовых мероприятий и акций по обеспечению информирования населения по вопросам здорового образа жизни, профилактике хронических неинфекционных заболеваний в рамках Всемирных дней здоровья:  -проведение месяца борьбы с онкологическими заболеваниями  «Вместе против рака» (4 февраля – Всемирный день борьбы против рака); - «Марафон здоровья», акция приурочена к Всемирному дню здоровья (7 апреля); - «Бирюзовая лента», акция приурочена к Всемирному дню без табака (31 мая); - «Здоровое сердце»,  акция приурочена к Всемирному дню сердца (26 сентября); - «Стоп, инсульт!», акция  приурочена к Всемирному дню борьбы с инсультом (29 октября); -и др. Подведение  промежуточных итогов информационно-коммуникационной кампании.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05"/>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05"/>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573"/>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Разработан и направлен в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Разработка проекта правового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Принятие </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r>
      <w:tr>
        <w:trPr>
          <w:trHeight w:hRule="exact" w:val="2020"/>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законодательный орган государственной власти нормативный правовой акт об установлении дополнительных ограничений розничной продажи алкогольной продукции.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акта в соответствии с федеральными нормативными актами, направленного на ограничение розничной продажи алкогольной продукции.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нормативного правового (правового) акта</w:t>
            </w:r>
          </w:p>
          <w:p/>
        </w:tc>
      </w:tr>
      <w:tr>
        <w:trPr>
          <w:trHeight w:hRule="exact" w:val="1677"/>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Подготовлен и опубликован доклад о состоянии здорового питания в Ямало-Ненецком автономном округе.</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На основании сведений системы мониторинга за состоянием питания различных групп населения в ЯНАО, результатов лабораторного контроля продуктов питания Управлением Роспотребнадзора в ЯНАО в 2020 году будет подготовлен и опубликован доклад о состоянии здорового питания в Ямало-Ненецком автономном округе.</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676"/>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 доступ населения к отечественным пищевым продуктам, способствующим устранению дефицита микро- и макронутриентов, в том числе усилен лабораторный контроль за показателями качества пищевой продукции и соответствия ее принципам здорового питания.</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Процент</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60</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Анализ наличия возможности у населения приобретать пищевую продукцию отвечающую принципам здорового питания, что позволит дать заключение по обеспеченности населения доступом к таким продуктам и сформировать необходимые мероприятия по коррекции питания.</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533"/>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61"/>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 Ямало-Ненецком автономном округе  реализованы региональные программы по формированию приверженности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Проведение конкурса по отбору проектов на предоставление субсидий некоммерческим организациям, реализующих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r>
      <w:tr>
        <w:trPr>
          <w:trHeight w:hRule="exact" w:val="286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здоровому образу жизни с привлечением социально ориентированных некоммерческих организаций и волонтерских движений. </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проекты по формированию приверженности здоровому образу жизни, размещение лучших проектов на официальном сайте департамента здравоохранения Ямало-Ненецкого автономного округа. Заключение соглашения между департаментом здравоохранения Ямало-Ненецкого автономного округа и социально ориентированной некоммерческой организацией победившей в конкурсе на предоставление субсидий социально ориентированным некоммерческим организациям на осуществление деятельности в сфере здравоохранения в Ямало-Ненецком автономном округе.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350"/>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349"/>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149"/>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 2019 году будет обеспечено размещение в эфире теле- и радиоканалов, на интернет-сайтах государственных и муниципальных СМИ Ямало-Ненецкого автономного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600</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В рамках муниципальных и государственных программ Ямало-Ненецкого автономного округа в телевизионных и радиопрограммах, на Интернет-сайтах государственных и муниципальных СМИ будет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r>
      <w:tr>
        <w:trPr>
          <w:trHeight w:hRule="exact" w:val="1763"/>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округа не менее 600 тематических сюжетов, публикаций, направленных на пропаганду здорового образа жизни, физической культуры, спорта и здорового питания.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осуществлено производство сюжетов, публикаций, направленных на пропаганду здорового образа жизни, физической культуры, спорта и здорового питания.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7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 2019 году будет обеспечено опубликование в периодических печатных изданиях государственных и муниципальных СМИ Ямало-Ненецкого автономного округа не менее 600 тематических материалов, направленных на пропаганду здорового образа жизни, физической культуры, спорта и здорового питания.</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600</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В рамках муниципальных и государственных программ Ямало-Ненецкого автономного округа в периодических печатных изданиях государственных и муниципальных СМИ будет осуществлено производство публикаций, направленных на пропаганду здорового образа жизни, физической культуры, спорта и здорового питания.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676"/>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35"/>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Для работодателей Ямало-Ненецкого автономного округа разработаны и утверждены модельные корпоративные программы, содержащие наилучшие практики по укреплению здоровья работников.</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Разработка и обсуждение модельных корпоративных программ, содержащих наилучшие практики по укреплению здоровья работников. Одобрены и размещены на официальном сайте департамента здравоохранения Ямало-Ненецкого автономного округа корпоративные программы, содержащие наилучшие практики по укреплению здоровья работников.</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Утверждение документа</w:t>
            </w:r>
          </w:p>
          <w:p/>
        </w:tc>
      </w:tr>
      <w:tr>
        <w:trPr>
          <w:trHeight w:hRule="exact" w:val="1934"/>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31"/>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Обеспечение внедрения разработанных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Будут проведены лекции, учебно-методические занятия,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r>
      <w:tr>
        <w:trPr>
          <w:trHeight w:hRule="exact" w:val="2822"/>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научно-обоснованных  адресных образовательных и просветительских программ по вопросам здорового питания в Ямало-Ненецком автономном округе.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консультирование по вопросам здорового питания для различных групп населения, направленные на формирование приверженности граждан принципам здорового питания, мотивации к потреблению полноценного питания, снижающего дефицит микронутриентов.</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34"/>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Проведена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 Разработка и внедрение дополнительных решений по модельным корпоративным программам,  содержащих наилучшие практики по укреплению здоровья работников.</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935"/>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19"/>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Обеспечение печатной продукцией по вопросам здорового питания (журналы, брошюры, буклеты, плакаты) не менее 5 Муниципальных образований Ямало-Ненецкого автономного округа.</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Управление Роспотребнадзора по ЯНАО обеспечит распространение созданной печатной продукции по вопросам здорового питания в субъектах Российской Федерации будет способствовать развитию формирования приверженности граждан принципам здорового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504"/>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r>
      <w:tr>
        <w:trPr>
          <w:trHeight w:hRule="exact" w:val="1246"/>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питания и мотивации к потреблению полноценного питания, снижающего дефицит микронутриентов.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07"/>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Обеспечено не менее 10  демонстраций (передач) рекламно-информационных материалов по телевидению, радио и в информационно-телекоммуникационной сети «Интернет» и не менее 2 рекламно-информационных материалов по вопросам здорового питания.</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Управление Роспотребнадзора обеспечит демонстрацию (передачи) созданных рекламно-информационных материалов по вопросам здорового питания по телевидению, радио и в информационно-телекоммуникационной сети «Интернет», что  будет способствовать развитию формирования приверженности граждан принципам здорового питания и мотивации к потреблению полноценного питания, снижающего дефицит микронутриентов.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219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7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Обеспечено наполнение системы мониторинга за состоянием питания различных групп населения в регионах новыми аналитическими данными по оценке состояния питания населения.</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Изучение структуры питания различных групп населения по каждому субъекту с разработкой рекомендаций по здоровому питанию. Корректировка перечня показателей для системы мониторинга за состоянием питания различных групп населения, с учетом полученных аналитических данных, сбор и обобщение новых данных.</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677"/>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Подведены итоги информационно-коммуникационной </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Будет осуществлен анализ и подведены итоги </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r>
      <w:tr>
        <w:trPr>
          <w:trHeight w:hRule="exact" w:val="286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кампании. </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проведенной информационно-коммуникационной кампании в Ямало-Ненецком автономном округе.                 Проведение опроса среди граждан Ямало-Ненецкого автономного округа с целью мониторинга уровня информированности о проведенной информационно-коммуникационной кампании; результаты опроса включены в отчет об итогах реализации информационно-коммуникационной кампании.                  Подготовка и размещение отчета об итогах реализации информационно-коммуникационной кампании на официальном сайте, аккаунтах департамента здравоохранения Ямало-Ненецкого автономного округа.</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61"/>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6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63"/>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Проведена оценка результатов (эффективности) информационно-коммуникационной кампании по вопросам здорового питания с использованием основных коммуникационных каналов для всех целевых аудиторий.</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Управление Роспотребнадзора по Ямало-Ненецкому автономному округу обеспечит распространение созданной печатной продукции тиражом не менее 1 000 экземпляров по вопросам здорового питания в Ямало-Ненецком автономном округе, что будет способствовать развитию формирования приверженности граждан принципам здорового питания и мотивации к </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186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30"/>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r>
      <w:tr>
        <w:trPr>
          <w:trHeight w:hRule="exact" w:val="975"/>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потреблению полноценного питания, снижающего дефицит микронутриентов.</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06"/>
        </w:trPr>
        <w:tc>
          <w:tcPr>
            <w:tcW w:w="573" w:type="dxa"/>
            <w:gridSpan w:val="3"/>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358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Внедрены корпоративные программы, содержащие наилучшие практики по укреплению здоровья работников в муниципальных образованиях Ямало-Ненецкого автономного округа.</w:t>
            </w:r>
          </w:p>
        </w:tc>
        <w:tc>
          <w:tcPr>
            <w:tcW w:w="1290" w:type="dxa"/>
            <w:gridSpan w:val="4"/>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Штука</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 Проведение информационно-разъяснительной работы с работодателями в целях внедрения корпоративных программ по укреплению здоровья работников. Внедрение модельных корпоративных программ укрепления здоровья не менее чем на двух предприятиях Ямало-Ненецкого автономного округа. Отчет о внедрении корпоративных программ, содержащих наилучшие практики по укреплению здоровья работников.</w:t>
            </w:r>
          </w:p>
          <w:p/>
        </w:tc>
        <w:tc>
          <w:tcPr>
            <w:tcW w:w="2436" w:type="dxa"/>
            <w:gridSpan w:val="6"/>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r>
        <w:trPr>
          <w:trHeight w:hRule="exact" w:val="2192"/>
        </w:trPr>
        <w:tc>
          <w:tcPr>
            <w:tcW w:w="573" w:type="dxa"/>
            <w:gridSpan w:val="3"/>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58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290" w:type="dxa"/>
            <w:gridSpan w:val="4"/>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7"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71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439" w:type="dxa"/>
            <w:gridSpan w:val="5"/>
            <w:vMerge/>
            <w:tcBorders>
              <w:top w:val="single" w:sz="5" w:space="0" w:color="000000"/>
              <w:left w:val="single" w:sz="5" w:space="0" w:color="000000"/>
              <w:bottom w:val="single" w:sz="5" w:space="0" w:color="000000"/>
              <w:right w:val="single" w:sz="5" w:space="0" w:color="000000"/>
            </w:tcBorders>
            <w:shd w:val="clear" w:color="auto" w:fill="auto"/>
          </w:tcPr>
          <w:p/>
        </w:tc>
        <w:tc>
          <w:tcPr>
            <w:tcW w:w="2436" w:type="dxa"/>
            <w:gridSpan w:val="6"/>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573" w:type="dxa"/>
            <w:gridSpan w:val="3"/>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358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Обеспечено пополнение новыми приобретенными данными информационного ресурса, направленного на защиту потребителей от недостоверной информации о продукции.</w:t>
            </w:r>
          </w:p>
        </w:tc>
        <w:tc>
          <w:tcPr>
            <w:tcW w:w="1290" w:type="dxa"/>
            <w:gridSpan w:val="4"/>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 в год</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7"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71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5"/>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Будет обеспечено наполнение новыми приобретенными данными информационного ресурса, направленного на защиту потребителей от недостоверной информации о продукции.</w:t>
            </w:r>
          </w:p>
          <w:p/>
        </w:tc>
        <w:tc>
          <w:tcPr>
            <w:tcW w:w="2436" w:type="dxa"/>
            <w:gridSpan w:val="6"/>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Оказание услуг (выполнение работ)</w:t>
            </w:r>
          </w:p>
          <w:p/>
        </w:tc>
      </w:tr>
    </w:tbl>
    <w:p>
      <w:pPr>
        <w:sectPr>
          <w:pgSz w:w="16834" w:h="13349" w:orient="landscape"/>
          <w:pgMar w:top="1134" w:right="576" w:bottom="526" w:left="576" w:header="1134" w:footer="526" w:gutter="0"/>
        </w:sectPr>
      </w:pPr>
    </w:p>
    <w:tbl>
      <w:tblPr>
        <w:tblStyle w:val="a1"/>
        <w:tblW w:w="0" w:type="dxa"/>
        <w:tblLayout w:type="fixed"/>
        <w:tblCellMar>
          <w:top w:w="0" w:type="dxa"/>
          <w:left w:w="0" w:type="dxa"/>
          <w:bottom w:w="0" w:type="dxa"/>
          <w:right w:w="0" w:type="dxa"/>
        </w:tblCellMar>
        <w:tblLook w:val="04A0"/>
      </w:tblPr>
      <w:tblGrid>
        <w:gridCol w:w="860"/>
        <w:gridCol w:w="143"/>
        <w:gridCol w:w="4442"/>
        <w:gridCol w:w="1432"/>
        <w:gridCol w:w="1433"/>
        <w:gridCol w:w="1433"/>
        <w:gridCol w:w="1433"/>
        <w:gridCol w:w="1433"/>
        <w:gridCol w:w="1432"/>
        <w:gridCol w:w="1577"/>
        <w:gridCol w:w="14"/>
      </w:tblGrid>
      <w:tr>
        <w:trPr>
          <w:trHeight w:hRule="exact" w:val="430"/>
        </w:trPr>
        <w:tc>
          <w:tcPr>
            <w:tcW w:w="15618" w:type="dxa"/>
            <w:gridSpan w:val="10"/>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14" w:type="dxa"/>
          </w:tcPr>
          <w:p/>
        </w:tc>
      </w:tr>
      <w:tr>
        <w:trPr>
          <w:trHeight w:hRule="exact" w:val="143"/>
        </w:trPr>
        <w:tc>
          <w:tcPr>
            <w:tcW w:w="860" w:type="dxa"/>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758" w:type="dxa"/>
            <w:gridSpan w:val="9"/>
            <w:vAlign w:val="center"/>
            <w:shd w:val="clear" w:color="auto" w:fill="auto"/>
          </w:tcPr>
          <w:p/>
        </w:tc>
        <w:tc>
          <w:tcPr>
            <w:tcW w:w="14" w:type="dxa"/>
          </w:tcPr>
          <w:p/>
        </w:tc>
      </w:tr>
      <w:tr>
        <w:trPr>
          <w:trHeight w:hRule="exact" w:val="430"/>
        </w:trPr>
        <w:tc>
          <w:tcPr>
            <w:tcW w:w="15618" w:type="dxa"/>
            <w:gridSpan w:val="10"/>
            <w:vAlign w:val="center"/>
            <w:tcBorders>
              <w:bottom w:val="single" w:sz="5" w:space="0" w:color="000000"/>
            </w:tcBorders>
            <w:shd w:val="clear" w:color="auto" w:fill="auto"/>
          </w:tcPr>
          <w:p>
            <w:pPr>
              <w:rPr>
                <w:rFonts w:ascii="Times New Roman" w:hAnsi="Times New Roman" w:eastAsia="Times New Roman" w:cs="Times New Roman"/>
                <w:color w:val="000000"/>
                <w:sz w:val="28"/>
                <w:spacing w:val="-2"/>
              </w:rPr>
              <w:spacing w:line="230"/>
              <w:jc w:val="center"/>
            </w:pPr>
            <w:r>
              <w:rPr>
                <w:sz w:val="28"/>
                <w:szCs w:val="28"/>
                <w:rFonts w:ascii="Times New Roman" w:hAnsi="Times New Roman" w:eastAsia="Times New Roman" w:cs="Times New Roman"/>
                <w:spacing w:val="-2"/>
              </w:rPr>
              <w:t xml:space="preserve">4. Финансовое обеспечение реализации регионального проекта</w:t>
            </w:r>
          </w:p>
          <w:p/>
        </w:tc>
        <w:tc>
          <w:tcPr>
            <w:tcW w:w="14" w:type="dxa"/>
          </w:tcPr>
          <w:p/>
        </w:tc>
      </w:tr>
      <w:tr>
        <w:trPr>
          <w:trHeight w:hRule="exact" w:val="430"/>
        </w:trPr>
        <w:tc>
          <w:tcPr>
            <w:tcW w:w="1003"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444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и источники финансирования</w:t>
            </w:r>
          </w:p>
        </w:tc>
        <w:tc>
          <w:tcPr>
            <w:tcW w:w="8596" w:type="dxa"/>
            <w:gridSpan w:val="6"/>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Объем финансового обеспечения по годам реализации (тыс. рублей)</w:t>
            </w:r>
          </w:p>
        </w:tc>
        <w:tc>
          <w:tcPr>
            <w:tcW w:w="1577"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Всего</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(тыс. рублей)</w:t>
            </w:r>
          </w:p>
        </w:tc>
        <w:tc>
          <w:tcPr>
            <w:tcW w:w="14" w:type="dxa"/>
            <w:tcBorders>
              <w:left w:val="single" w:sz="5" w:space="0" w:color="000000"/>
            </w:tcBorders>
          </w:tcPr>
          <w:p/>
        </w:tc>
      </w:tr>
      <w:tr>
        <w:trPr>
          <w:trHeight w:hRule="exact" w:val="286"/>
        </w:trPr>
        <w:tc>
          <w:tcPr>
            <w:tcW w:w="100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44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2019</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2020</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2021</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2022</w:t>
            </w: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2023</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2024</w:t>
            </w:r>
          </w:p>
        </w:tc>
        <w:tc>
          <w:tcPr>
            <w:tcW w:w="1577"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1</w:t>
            </w:r>
          </w:p>
          <w:p/>
        </w:tc>
        <w:tc>
          <w:tcPr>
            <w:tcW w:w="14615" w:type="dxa"/>
            <w:gridSpan w:val="8"/>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Доля аудитории граждан старше 12 лет, охваченной коммуникационной кампанией по основным каналам: телевидение, радио и в информационно-телекоммуникационной сети «Интернет».</w:t>
            </w:r>
          </w:p>
        </w:tc>
        <w:tc>
          <w:tcPr>
            <w:tcW w:w="14" w:type="dxa"/>
            <w:tcBorders>
              <w:left w:val="single" w:sz="5" w:space="0" w:color="000000"/>
            </w:tcBorders>
          </w:tcPr>
          <w:p/>
        </w:tc>
      </w:tr>
      <w:tr>
        <w:trPr>
          <w:trHeight w:hRule="exact" w:val="859"/>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 Российской Федерации,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19 745,00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20 823,00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21 473,00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128 551,00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19 745,00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20 823,00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21 473,00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128 551,00</w:t>
            </w:r>
          </w:p>
        </w:tc>
        <w:tc>
          <w:tcPr>
            <w:tcW w:w="14" w:type="dxa"/>
            <w:tcBorders>
              <w:left w:val="single" w:sz="5" w:space="0" w:color="000000"/>
            </w:tcBorders>
          </w:tcPr>
          <w:p/>
        </w:tc>
      </w:tr>
      <w:tr>
        <w:trPr>
          <w:trHeight w:hRule="exact" w:val="1504"/>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бюджеты территориальных государственных внебюджетных фондов (бюджеты территориальных фондов обязательного медицинского страхованияя),всего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7"/>
        </w:trPr>
        <w:tc>
          <w:tcPr>
            <w:tcW w:w="1003"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444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внебюджетные источники, всего</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716"/>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right"/>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ИТОГО ПО РЕГИОНАЛЬНОМУ ПРОЕКТУ:</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19 745,00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20 823,00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21 473,00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128 551,00</w:t>
            </w:r>
          </w:p>
        </w:tc>
        <w:tc>
          <w:tcPr>
            <w:tcW w:w="14" w:type="dxa"/>
            <w:tcBorders>
              <w:left w:val="single" w:sz="5" w:space="0" w:color="000000"/>
            </w:tcBorders>
          </w:tcPr>
          <w:p/>
        </w:tc>
      </w:tr>
      <w:tr>
        <w:trPr>
          <w:trHeight w:hRule="exact" w:val="716"/>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консолидированный бюджет субъекта</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Российской Федерации, из них:</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19 745,00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20 823,00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21 473,00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128 551,00</w:t>
            </w:r>
          </w:p>
        </w:tc>
        <w:tc>
          <w:tcPr>
            <w:tcW w:w="14" w:type="dxa"/>
            <w:tcBorders>
              <w:left w:val="single" w:sz="5" w:space="0" w:color="000000"/>
            </w:tcBorders>
          </w:tcPr>
          <w:p/>
        </w:tc>
      </w:tr>
      <w:tr>
        <w:trPr>
          <w:trHeight w:hRule="exact" w:val="574"/>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бюджет субъекта</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19 745,00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20 823,00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21 473,00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22 170,00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128 551,00</w:t>
            </w:r>
          </w:p>
        </w:tc>
        <w:tc>
          <w:tcPr>
            <w:tcW w:w="14" w:type="dxa"/>
            <w:tcBorders>
              <w:left w:val="single" w:sz="5" w:space="0" w:color="000000"/>
            </w:tcBorders>
          </w:tcPr>
          <w:p/>
        </w:tc>
      </w:tr>
      <w:tr>
        <w:trPr>
          <w:trHeight w:hRule="exact" w:val="573"/>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свод бюджетов Муниципальных образований</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1289"/>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бюджетам территориальных государственных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внебюджетных фондов(бюджетам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территориальных фондов </w:t>
            </w:r>
          </w:p>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обязательного медицинского страхования) </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r>
        <w:trPr>
          <w:trHeight w:hRule="exact" w:val="573"/>
        </w:trPr>
        <w:tc>
          <w:tcPr>
            <w:tcW w:w="5445" w:type="dxa"/>
            <w:gridSpan w:val="3"/>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внебюджетные источники</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577"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0"/>
                <w:spacing w:val="-2"/>
              </w:rPr>
            </w:pPr>
            <w:r>
              <w:rPr>
                <w:rFonts w:ascii="Times New Roman" w:hAnsi="Times New Roman" w:eastAsia="Times New Roman" w:cs="Times New Roman"/>
                <w:color w:val="000000"/>
                <w:sz w:val="20"/>
                <w:spacing w:val="-2"/>
              </w:rPr>
              <w:t xml:space="preserve">0,00</w:t>
            </w:r>
          </w:p>
        </w:tc>
        <w:tc>
          <w:tcPr>
            <w:tcW w:w="14" w:type="dxa"/>
            <w:tcBorders>
              <w:left w:val="single" w:sz="5" w:space="0" w:color="000000"/>
            </w:tcBorders>
          </w:tcPr>
          <w:p/>
        </w:tc>
      </w:tr>
    </w:tbl>
    <w:p>
      <w:pPr>
        <w:sectPr>
          <w:pgSz w:w="16834" w:h="11909" w:orient="landscape"/>
          <w:pgMar w:top="562" w:right="562" w:bottom="512" w:left="562" w:header="562" w:footer="512" w:gutter="0"/>
        </w:sectPr>
      </w:pPr>
    </w:p>
    <w:tbl>
      <w:tblPr>
        <w:tblStyle w:val="a1"/>
        <w:tblW w:w="0" w:type="dxa"/>
        <w:tblLayout w:type="fixed"/>
        <w:tblCellMar>
          <w:top w:w="0" w:type="dxa"/>
          <w:left w:w="0" w:type="dxa"/>
          <w:bottom w:w="0" w:type="dxa"/>
          <w:right w:w="0" w:type="dxa"/>
        </w:tblCellMar>
        <w:tblLook w:val="04A0"/>
      </w:tblPr>
      <w:tblGrid>
        <w:gridCol w:w="573"/>
        <w:gridCol w:w="3296"/>
        <w:gridCol w:w="1432"/>
        <w:gridCol w:w="2150"/>
        <w:gridCol w:w="2292"/>
        <w:gridCol w:w="1290"/>
        <w:gridCol w:w="1432"/>
        <w:gridCol w:w="3138"/>
        <w:gridCol w:w="15"/>
      </w:tblGrid>
      <w:tr>
        <w:trPr>
          <w:trHeight w:hRule="exact" w:val="430"/>
        </w:trPr>
        <w:tc>
          <w:tcPr>
            <w:tcW w:w="15618" w:type="dxa"/>
            <w:gridSpan w:val="9"/>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r>
      <w:tr>
        <w:trPr>
          <w:trHeight w:hRule="exact" w:val="430"/>
        </w:trPr>
        <w:tc>
          <w:tcPr>
            <w:tcW w:w="15618" w:type="dxa"/>
            <w:gridSpan w:val="9"/>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5.	Перечень методик расчета показателей регионального проекта</w:t>
            </w:r>
          </w:p>
        </w:tc>
      </w:tr>
      <w:tr>
        <w:trPr>
          <w:trHeight w:hRule="exact" w:val="573"/>
        </w:trPr>
        <w:tc>
          <w:tcPr>
            <w:tcW w:w="573"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29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целевого, дополнительного показателя</w:t>
            </w:r>
          </w:p>
        </w:tc>
        <w:tc>
          <w:tcPr>
            <w:tcW w:w="1432"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Единица измерения</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 ОКЕИ)</w:t>
            </w:r>
          </w:p>
        </w:tc>
        <w:tc>
          <w:tcPr>
            <w:tcW w:w="10317" w:type="dxa"/>
            <w:gridSpan w:val="6"/>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и реквизиты документа, которым утверждена методика расчета показателя</w:t>
            </w:r>
          </w:p>
        </w:tc>
      </w:tr>
      <w:tr>
        <w:trPr>
          <w:trHeight w:hRule="exact" w:val="573"/>
        </w:trPr>
        <w:tc>
          <w:tcPr>
            <w:tcW w:w="573"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150"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w:t>
            </w:r>
          </w:p>
        </w:tc>
        <w:tc>
          <w:tcPr>
            <w:tcW w:w="229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Утвердивший орган</w:t>
            </w:r>
          </w:p>
        </w:tc>
        <w:tc>
          <w:tcPr>
            <w:tcW w:w="1290"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Дата</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Номер</w:t>
            </w:r>
          </w:p>
        </w:tc>
        <w:tc>
          <w:tcPr>
            <w:tcW w:w="3153"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w:t>
            </w:r>
          </w:p>
        </w:tc>
      </w:tr>
      <w:tr>
        <w:trPr>
          <w:trHeight w:hRule="exact" w:val="1676"/>
        </w:trPr>
        <w:tc>
          <w:tcPr>
            <w:tcW w:w="573"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296"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Розничные продажи алкогольной продукции на душу населения (в литрах этанола)</w:t>
            </w:r>
          </w:p>
        </w:tc>
        <w:tc>
          <w:tcPr>
            <w:tcW w:w="143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Литр чистого (100%) спирта</w:t>
            </w:r>
          </w:p>
        </w:tc>
        <w:tc>
          <w:tcPr>
            <w:tcW w:w="2150"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Приказ</w:t>
            </w:r>
          </w:p>
        </w:tc>
        <w:tc>
          <w:tcPr>
            <w:tcW w:w="229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ФЕДЕРАЛЬНАЯ СЛУЖБА ПО РЕГУЛИРОВАНИЮ АЛКОГОЛЬНОГО РЫНКА</w:t>
            </w:r>
          </w:p>
        </w:tc>
        <w:tc>
          <w:tcPr>
            <w:tcW w:w="1290"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05.03.2020</w:t>
            </w:r>
          </w:p>
        </w:tc>
        <w:tc>
          <w:tcPr>
            <w:tcW w:w="143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87</w:t>
            </w:r>
          </w:p>
        </w:tc>
        <w:tc>
          <w:tcPr>
            <w:tcW w:w="315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 утверждении Методики пересчета объема розничных продаж алкогольной продукции в литры безводного спирта и Методики расчета показателя 2.9.7^17 "Розничные продажи алкогольной продукции на душу населения(в литрах этанола)" Федерального плана статистических работ</w:t>
            </w:r>
          </w:p>
        </w:tc>
      </w:tr>
      <w:tr>
        <w:trPr>
          <w:trHeight w:hRule="exact" w:val="1677"/>
        </w:trPr>
        <w:tc>
          <w:tcPr>
            <w:tcW w:w="573"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15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9"/>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r>
      <w:tr>
        <w:trPr>
          <w:trHeight w:hRule="exact" w:val="2865"/>
        </w:trPr>
        <w:tc>
          <w:tcPr>
            <w:tcW w:w="573"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3296"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Смертность женщин в возрасте  16-54 лет </w:t>
            </w:r>
          </w:p>
        </w:tc>
        <w:tc>
          <w:tcPr>
            <w:tcW w:w="143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100 тысяч человек</w:t>
            </w:r>
          </w:p>
        </w:tc>
        <w:tc>
          <w:tcPr>
            <w:tcW w:w="2150"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Приказ</w:t>
            </w:r>
          </w:p>
        </w:tc>
        <w:tc>
          <w:tcPr>
            <w:tcW w:w="229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ФЕДЕРАЛЬНАЯ СЛУЖБА ГОСУДАРСТВЕННОЙ СТАТИСТИКИ</w:t>
            </w:r>
          </w:p>
        </w:tc>
        <w:tc>
          <w:tcPr>
            <w:tcW w:w="1290"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29.03.2019</w:t>
            </w:r>
          </w:p>
        </w:tc>
        <w:tc>
          <w:tcPr>
            <w:tcW w:w="143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184</w:t>
            </w:r>
          </w:p>
        </w:tc>
        <w:tc>
          <w:tcPr>
            <w:tcW w:w="315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 утверждении методик расчета закрепленных за Росстатом показателей национального проекта "Здравоохранение" (вместе с "Методикой расчета показателя "Смертность населения трудоспособного возраста, на 100 тыс. населения", "Методикой расчета показателя "Смертность от инфаркта миокарда, на 100 тыс. населения", "Методикой расчета показателя "Смертность от острого нарушения мозгового кровообращения, на 100 тыс. населения", "Методикой расчета показателя "Смертность детей в возрасте 0 - 4 года на 1000 родившихся живыми", "Методикой расчета показателя "Смертность детей в возрасте 0 - 17 лет на 100 тыс. детей соответствующего возраста")</w:t>
            </w:r>
          </w:p>
        </w:tc>
      </w:tr>
      <w:tr>
        <w:trPr>
          <w:trHeight w:hRule="exact" w:val="2493"/>
        </w:trPr>
        <w:tc>
          <w:tcPr>
            <w:tcW w:w="573"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15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479"/>
        </w:trPr>
        <w:tc>
          <w:tcPr>
            <w:tcW w:w="573"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15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77"/>
        </w:trPr>
        <w:tc>
          <w:tcPr>
            <w:tcW w:w="573"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296"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Основной показатель: Смертность мужчин в возрасте  16-59 лет </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 100 тысяч человек</w:t>
            </w:r>
          </w:p>
        </w:tc>
        <w:tc>
          <w:tcPr>
            <w:tcW w:w="215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Приказ</w:t>
            </w:r>
          </w:p>
        </w:tc>
        <w:tc>
          <w:tcPr>
            <w:tcW w:w="229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ФЕДЕРАЛЬНАЯ СЛУЖБА ГОСУДАРСТВЕННОЙ СТАТИСТИКИ</w:t>
            </w:r>
          </w:p>
        </w:tc>
        <w:tc>
          <w:tcPr>
            <w:tcW w:w="1290"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29.03.2019</w:t>
            </w:r>
          </w:p>
        </w:tc>
        <w:tc>
          <w:tcPr>
            <w:tcW w:w="1432" w:type="dxa"/>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184</w:t>
            </w:r>
          </w:p>
        </w:tc>
        <w:tc>
          <w:tcPr>
            <w:tcW w:w="3153" w:type="dxa"/>
            <w:gridSpan w:val="2"/>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Об утверждении методик расчета закрепленных за Росстатом показателей национального проекта "Здравоохранение" (вместе с "Методикой расчета </w:t>
            </w:r>
          </w:p>
        </w:tc>
      </w:tr>
      <w:tr>
        <w:trPr>
          <w:trHeight w:hRule="exact" w:val="430"/>
        </w:trPr>
        <w:tc>
          <w:tcPr>
            <w:tcW w:w="15618" w:type="dxa"/>
            <w:gridSpan w:val="9"/>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r>
      <w:tr>
        <w:trPr>
          <w:trHeight w:hRule="exact" w:val="2865"/>
        </w:trPr>
        <w:tc>
          <w:tcPr>
            <w:tcW w:w="573"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296"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150"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290"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3153"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показателя "Смертность населения трудоспособного возраста, на 100 тыс. населения", "Методикой расчета показателя "Смертность от инфаркта миокарда, на 100 тыс. населения", "Методикой расчета показателя "Смертность от острого нарушения мозгового кровообращения, на 100 тыс. населения", "Методикой расчета показателя "Смертность детей в возрасте 0 - 4 года на 1000 родившихся живыми", "Методикой расчета показателя "Смертность детей в возрасте 0 - 17 лет на 100 тыс. детей соответствующего возраста")</w:t>
            </w:r>
          </w:p>
        </w:tc>
      </w:tr>
      <w:tr>
        <w:trPr>
          <w:trHeight w:hRule="exact" w:val="1691"/>
        </w:trPr>
        <w:tc>
          <w:tcPr>
            <w:tcW w:w="573"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15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691"/>
        </w:trPr>
        <w:tc>
          <w:tcPr>
            <w:tcW w:w="573"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29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15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229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290"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3153"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bl>
    <w:p>
      <w:pPr>
        <w:sectPr>
          <w:pgSz w:w="16834" w:h="11909" w:orient="landscape"/>
          <w:pgMar w:top="1134" w:right="576" w:bottom="526" w:left="576" w:header="1134" w:footer="526" w:gutter="0"/>
        </w:sectPr>
      </w:pPr>
    </w:p>
    <w:tbl>
      <w:tblPr>
        <w:tblStyle w:val="a1"/>
        <w:tblW w:w="0" w:type="dxa"/>
        <w:tblLayout w:type="fixed"/>
        <w:tblCellMar>
          <w:top w:w="0" w:type="dxa"/>
          <w:left w:w="0" w:type="dxa"/>
          <w:bottom w:w="0" w:type="dxa"/>
          <w:right w:w="0" w:type="dxa"/>
        </w:tblCellMar>
        <w:tblLook w:val="04A0"/>
      </w:tblPr>
      <w:tblGrid>
        <w:gridCol w:w="15618"/>
        <w:gridCol w:w="28"/>
      </w:tblGrid>
      <w:tr>
        <w:trPr>
          <w:trHeight w:hRule="exact" w:val="430"/>
        </w:trPr>
        <w:tc>
          <w:tcPr>
            <w:tcW w:w="15618" w:type="dxa"/>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28" w:type="dxa"/>
          </w:tcPr>
          <w:p/>
        </w:tc>
      </w:tr>
      <w:tr>
        <w:trPr>
          <w:trHeight w:hRule="exact" w:val="573"/>
        </w:trPr>
        <w:tc>
          <w:tcPr>
            <w:tcW w:w="15618" w:type="dxa"/>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6. Дополнительная информация</w:t>
            </w:r>
          </w:p>
        </w:tc>
        <w:tc>
          <w:tcPr>
            <w:tcW w:w="28" w:type="dxa"/>
            <w:tcBorders>
              <w:bottom w:val="single" w:sz="5" w:space="0" w:color="000000"/>
            </w:tcBorders>
          </w:tcPr>
          <w:p/>
        </w:tc>
      </w:tr>
      <w:tr>
        <w:trPr>
          <w:trHeight w:hRule="exact" w:val="2866"/>
        </w:trPr>
        <w:tc>
          <w:tcPr>
            <w:tcW w:w="15646"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Указ Президента Российской Федерации от 7 мая 2018 г. № 204 "О национальных целях и стратегических задачах развития Российской Федерации на период до 2024 года" (далее – Указ) предусматривает снижение показателей смертности населения трудоспособного возраста (до 350 случаев на 100 тыс. населения), повышение ожидаемой продолжительности жизни до 78 лет (к 2030 году – до 80 лет), увеличение ожидаемой продолжительности здоровой жизни до 67 лет.</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Достижение указанных целей возможно при массовом вовлечении граждан в практику здорового образа жизни и стимулирование отказ от вредных привычек, включая потребление алкоголя, табака и нерациональное питание. Увеличение доли граждан, ведущих ЗОЖ будет достигнуто за счет внедрения новой модели функционирования центров общественного здоровья. Новая модель предусматривает увеличение доли популяционной профилактики на муниципальном уровне за счет привлечения социально-ориентированных НКО и участников волонтерских движений. Профилактические мероприятия будут проводится по специально разработанным и адаптированным программам в организованных коллективах (учебные заведения, предприятия и пр.). Целью данных программ станет не только повышение информированности граждан по вопросу ведения ЗОЖ, но также мотивирование и помощь участникам программ в отказе от вредных привычек. Ранняя профилактика основных факторов риска неинфекционных заболеваний будет реализована за счет эффективных скринингов. Новая модель центров общественного здоровья включает разработку нормативных правовых актов, направленных на упрощение отчетно-учетной документации.</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Вместе с тем, данная модель не предусматривает создание новой инфраструктуры и существенного расширения штатной численности сотрудников центров общественного здоровья.</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Увеличению доли населения, приверженного принципам здорового питания, снижению избыточного потребления сахара, соли и жира, будут способствовать</w:t>
            </w:r>
            <w:r>
              <w:rPr>
                <w:sz w:val="24"/>
                <w:szCs w:val="24"/>
                <w:rFonts w:ascii="Times New Roman" w:hAnsi="Times New Roman" w:eastAsia="Times New Roman" w:cs="Times New Roman"/>
                <w:spacing w:val="-2"/>
              </w:rPr>
              <w:t xml:space="preserve"> </w:t>
            </w:r>
            <w:r>
              <w:rPr>
                <w:sz w:val="24"/>
                <w:szCs w:val="24"/>
                <w:rFonts w:ascii="Times New Roman" w:hAnsi="Times New Roman" w:eastAsia="Times New Roman" w:cs="Times New Roman"/>
                <w:spacing w:val="-2"/>
              </w:rPr>
              <w:t xml:space="preserve">адресные информационные кампании с выбором наилучших каналов доведения информации до различных возрастных и социальных групп.</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Кроме того, достижению показателей федерального проекта будет также способствовать внедрение системы мониторинга за состоянием питания различных групп населения в регионах; создание на базе ФБУЗ Роспотребнадзора 17-ти современных испытательных лабораторных центров с необходимым оборудованием для определения показателей качества пищевой продукции. Дальнейшее функционирование системы мониторинга, информационного ресурса, 17 центров лабораторного контроля и 5 научно-методических образовательных центров будет поддерживаться на уровне среднегодовых расходов, что позволит поддерживать достигнутые проектом результаты в части формирования среды, мотивирующей граждан к здоровому питанию, на должном уровне, продолжать на постоянной основе обеспечивать население информацией о качественных и безопасных пищевых продуктах.</w:t>
            </w:r>
          </w:p>
          <w:p>
            <w:pPr>
              <w:rPr>
                <w:rFonts w:ascii="Times New Roman" w:hAnsi="Times New Roman" w:eastAsia="Times New Roman" w:cs="Times New Roman"/>
                <w:color w:val="000000"/>
                <w:sz w:val="24"/>
                <w:spacing w:val="-2"/>
              </w:rPr>
              <w:spacing w:line="230"/>
            </w:pPr>
          </w:p>
          <w:p/>
        </w:tc>
      </w:tr>
      <w:tr>
        <w:trPr>
          <w:trHeight w:hRule="exact" w:val="2808"/>
        </w:trPr>
        <w:tc>
          <w:tcPr>
            <w:tcW w:w="156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08"/>
        </w:trPr>
        <w:tc>
          <w:tcPr>
            <w:tcW w:w="156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28" w:type="dxa"/>
            <w:tcBorders>
              <w:top w:val="single" w:sz="5" w:space="0" w:color="000000"/>
              <w:bottom w:val="single" w:sz="5" w:space="0" w:color="000000"/>
            </w:tcBorders>
          </w:tcPr>
          <w:p/>
        </w:tc>
      </w:tr>
      <w:tr>
        <w:trPr>
          <w:trHeight w:hRule="exact" w:val="2866"/>
        </w:trPr>
        <w:tc>
          <w:tcPr>
            <w:tcW w:w="15646" w:type="dxa"/>
            <w:gridSpan w:val="2"/>
            <w:vMerge w:val="restart"/>
            <w:tcMar>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Указ Президента Российской Федерации от 7 мая 2018 г. № 204 "О национальных целях и стратегических задачах развития Российской Федерации на период до 2024 года" (далее – Указ) предусматривает снижение показателей смертности населения трудоспособного возраста (до 350 случаев на 100 тыс. населения), повышение ожидаемой продолжительности жизни до 78 лет (к 2030 году – до 80 лет), увеличение ожидаемой продолжительности здоровой жизни до 67 лет.</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Достижение указанных целей возможно при массовом вовлечении граждан в практику здорового образа жизни и стимулирование отказ от вредных привычек, включая потребление алкоголя, табака и нерациональное питание. Увеличение доли граждан, ведущих ЗОЖ будет достигнуто за счет внедрения новой модели функционирования центров общественного здоровья. Новая модель предусматривает увеличение доли популяционной профилактики на муниципальном уровне за счет привлечения социально-ориентированных НКО и участников волонтерских движений. Профилактические мероприятия будут проводится по специально разработанным и адаптированным программам в организованных коллективах (учебные заведения, предприятия и пр.). Целью данных программ станет не только повышение информированности граждан по вопросу ведения ЗОЖ, но также мотивирование и помощь участникам программ в отказе от вредных привычек. Ранняя профилактика основных факторов риска неинфекционных заболеваний будет реализована за счет эффективных скринингов. Новая модель центров общественного здоровья включает разработку нормативных правовых актов, направленных на упрощение отчетно-учетной документации.</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Вместе с тем, данная модель не предусматривает создание новой инфраструктуры и существенного расширения штатной численности сотрудников центров общественного здоровья.</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Увеличению доли населения, приверженного принципам здорового питания, снижению избыточного потребления сахара, соли и жира, будут способствовать</w:t>
            </w:r>
            <w:r>
              <w:rPr>
                <w:sz w:val="24"/>
                <w:szCs w:val="24"/>
                <w:rFonts w:ascii="Times New Roman" w:hAnsi="Times New Roman" w:eastAsia="Times New Roman" w:cs="Times New Roman"/>
                <w:spacing w:val="-2"/>
              </w:rPr>
              <w:t xml:space="preserve"> </w:t>
            </w:r>
            <w:r>
              <w:rPr>
                <w:sz w:val="24"/>
                <w:szCs w:val="24"/>
                <w:rFonts w:ascii="Times New Roman" w:hAnsi="Times New Roman" w:eastAsia="Times New Roman" w:cs="Times New Roman"/>
                <w:spacing w:val="-2"/>
              </w:rPr>
              <w:t xml:space="preserve">адресные информационные кампании с выбором наилучших каналов доведения информации до различных возрастных и социальных групп.</w:t>
            </w: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p>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Кроме того, достижению показателей федерального проекта будет также способствовать внедрение системы мониторинга за состоянием питания различных групп населения в регионах; создание на базе ФБУЗ Роспотребнадзора 17-ти современных испытательных лабораторных центров с необходимым оборудованием для определения показателей качества пищевой продукции. Дальнейшее функционирование системы мониторинга, информационного ресурса, 17 центров лабораторного контроля и 5 научно-методических образовательных центров будет поддерживаться на уровне среднегодовых расходов, что позволит поддерживать достигнутые проектом результаты в части формирования среды, мотивирующей граждан к здоровому питанию, на должном уровне, продолжать на постоянной основе обеспечивать население информацией о качественных и безопасных пищевых продуктах.</w:t>
            </w:r>
          </w:p>
          <w:p>
            <w:pPr>
              <w:rPr>
                <w:rFonts w:ascii="Times New Roman" w:hAnsi="Times New Roman" w:eastAsia="Times New Roman" w:cs="Times New Roman"/>
                <w:color w:val="000000"/>
                <w:sz w:val="24"/>
                <w:spacing w:val="-2"/>
              </w:rPr>
              <w:spacing w:line="230"/>
            </w:pPr>
          </w:p>
          <w:p/>
        </w:tc>
      </w:tr>
      <w:tr>
        <w:trPr>
          <w:trHeight w:hRule="exact" w:val="2808"/>
        </w:trPr>
        <w:tc>
          <w:tcPr>
            <w:tcW w:w="156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08"/>
        </w:trPr>
        <w:tc>
          <w:tcPr>
            <w:tcW w:w="1564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bl>
    <w:p>
      <w:pPr>
        <w:sectPr>
          <w:pgSz w:w="16848" w:h="11952" w:orient="landscape"/>
          <w:pgMar w:top="562" w:right="562" w:bottom="512" w:left="562" w:header="562" w:footer="512" w:gutter="0"/>
        </w:sectPr>
      </w:pPr>
    </w:p>
    <w:tbl>
      <w:tblPr>
        <w:tblStyle w:val="a1"/>
        <w:tblW w:w="0" w:type="dxa"/>
        <w:tblLayout w:type="fixed"/>
        <w:tblCellMar>
          <w:top w:w="0" w:type="dxa"/>
          <w:left w:w="0" w:type="dxa"/>
          <w:bottom w:w="0" w:type="dxa"/>
          <w:right w:w="0" w:type="dxa"/>
        </w:tblCellMar>
        <w:tblLook w:val="04A0"/>
      </w:tblPr>
      <w:tblGrid>
        <w:gridCol w:w="716"/>
        <w:gridCol w:w="144"/>
        <w:gridCol w:w="5158"/>
        <w:gridCol w:w="1433"/>
        <w:gridCol w:w="1432"/>
        <w:gridCol w:w="2579"/>
        <w:gridCol w:w="4141"/>
        <w:gridCol w:w="15"/>
      </w:tblGrid>
      <w:tr>
        <w:trPr>
          <w:trHeight w:hRule="exact" w:val="430"/>
        </w:trPr>
        <w:tc>
          <w:tcPr>
            <w:tcW w:w="15618" w:type="dxa"/>
            <w:gridSpan w:val="8"/>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r>
      <w:tr>
        <w:trPr>
          <w:trHeight w:hRule="exact" w:val="573"/>
        </w:trPr>
        <w:tc>
          <w:tcPr>
            <w:tcW w:w="11462" w:type="dxa"/>
            <w:gridSpan w:val="6"/>
          </w:tcPr>
          <w:p/>
        </w:tc>
        <w:tc>
          <w:tcPr>
            <w:tcW w:w="4156" w:type="dxa"/>
            <w:gridSpan w:val="2"/>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ПРИЛОЖЕНИЕ №1</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 паспорту регионального проекта</w:t>
            </w:r>
          </w:p>
        </w:tc>
      </w:tr>
      <w:tr>
        <w:trPr>
          <w:trHeight w:hRule="exact" w:val="573"/>
        </w:trPr>
        <w:tc>
          <w:tcPr>
            <w:tcW w:w="11462" w:type="dxa"/>
            <w:gridSpan w:val="6"/>
          </w:tcPr>
          <w:p/>
        </w:tc>
        <w:tc>
          <w:tcPr>
            <w:tcW w:w="4156" w:type="dxa"/>
            <w:gridSpan w:val="2"/>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Укрепление общественного здоровья (Ямало-Ненецкий автономный округ)</w:t>
            </w:r>
          </w:p>
        </w:tc>
      </w:tr>
      <w:tr>
        <w:trPr>
          <w:trHeight w:hRule="exact" w:val="143"/>
        </w:trPr>
        <w:tc>
          <w:tcPr>
            <w:tcW w:w="860" w:type="dxa"/>
            <w:gridSpan w:val="2"/>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758" w:type="dxa"/>
            <w:gridSpan w:val="6"/>
            <w:vAlign w:val="center"/>
            <w:shd w:val="clear" w:color="auto" w:fill="auto"/>
          </w:tcPr>
          <w:p>
            <w:pPr>
              <w:spacing w:line="230"/>
              <w:jc w:val="center"/>
              <w:rPr>
                <w:rFonts w:ascii="Times New Roman" w:hAnsi="Times New Roman" w:eastAsia="Times New Roman" w:cs="Times New Roman"/>
                <w:color w:val="000000"/>
                <w:sz w:val="28"/>
                <w:spacing w:val="-2"/>
              </w:rPr>
            </w:pPr>
          </w:p>
        </w:tc>
      </w:tr>
      <w:tr>
        <w:trPr>
          <w:trHeight w:hRule="exact" w:val="717"/>
        </w:trPr>
        <w:tc>
          <w:tcPr>
            <w:tcW w:w="15618" w:type="dxa"/>
            <w:gridSpan w:val="8"/>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План мероприятий по реализации регионального проекта</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"Доля аудитории граждан старше 12 лет, охваченной коммуникационной кампанией по основным каналам: телевидение, радио и в информационно-телекоммуникационной сети «Интернет»."</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Проведение информационно-коммуникационной кампании, направленной на пропаганду сокращения потребления алкоголя; сокращения потребления табака, а также иных форм потребления никотина; пропаганду ответственного отношения к рациону питания; пропаганду ответственного отношения к репродуктивному здоровью и повышение приверженности вакцинации, при методическом сопровождении Центра медицинской профилактики. Выпуск в эфир не менее 1000 телевизионных и радио программ; тиражирование не менее 100 000 экземпляров информационных материалов по пропаганде здорового образа жизни. Создание и обслуживание интернет-портала, посвященного здоровому образу жизни для населения ЯНАО и обеспечение его посещаемости. Проведение массовых мероприятий и акций по обеспечению информирования </w:t>
            </w:r>
          </w:p>
          <w:p/>
        </w:tc>
      </w:tr>
      <w:tr>
        <w:trPr>
          <w:trHeight w:hRule="exact" w:val="1992"/>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991"/>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5"/>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населения по вопросам здорового образа жизни, профилактике хронических неинфекционных заболеваний в рамках Всемирных дней здоровья: -проведение месяца борьбы с онкологическими заболеваниями «Вместе против рака» (4 февраля – Всемирный день борьбы против рака); - «Марафон здоровья», акция приурочена к Всемирному дню здоровья (7 апреля); - «Бирюзовая лента», акция приурочена к Всемирному дню без табака (31 мая); - «Здоровое сердце», акция приурочена к Всемирному дню сердца (26 сентября); - «Стоп, инсульт!», акция приурочена к Всемирному дню борьбы с инсультом (29 октября); -и др. Подведение промежуточных итогов информационно-коммуникационной кампании. </w:t>
            </w:r>
          </w:p>
          <w:p/>
        </w:tc>
      </w:tr>
      <w:tr>
        <w:trPr>
          <w:trHeight w:hRule="exact" w:val="2852"/>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"Государственное (муниципальное) задание на оказание государственных (муниципальных) услуг (выполнение работ) утверждено (государственное задание включено в реестр государственных заданий)"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"Соглашение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 заключено (включено в реестр соглашений)"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процедуры соглашения о порядке и условиях предоставления субсидий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"Представлен отчет о выполнении соглашения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ежеквартального отчета о выполнении соглашения о порядке и условиях предоставления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01.02.2019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"Государственное (муниципальное) задание на оказание государственных (муниципальных) услуг (выполнение работ) утверждено (государственное задание включено в реестр государственных заданий)"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"Соглашение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 заключено (включено в реестр соглашений)"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процедуры соглашения о порядке и условиях предоставления субсидий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"Представлен отчет о выполнении соглашения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Формирование ежеквартального отчета о выполнении соглашения о порядке и условиях предоставления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01.02.2020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"Государственное (муниципальное) задание на оказание государственных (муниципальных) услуг (выполнение работ) утверждено (государственное задание включено в реестр государственных заданий)"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"Соглашение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 заключено (включено в реестр соглашений)"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процедуры соглашения о порядке и условиях предоставления субсидий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"Представлен отчет о выполнении соглашения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ежеквартального отчета о выполнении соглашения о порядке и условиях предоставления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01.02.2021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1.10</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"Государственное (муниципальное) задание на оказание государственных (муниципальных) услуг (выполнение работ) утверждено (государственное задание включено в реестр государственных заданий)"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1.10.1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"Соглашение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 заключено (включено в реестр соглашений)"</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процедуры соглашения о порядке и условиях предоставления субсидий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01.01.2023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"Представлен отчет о выполнении соглашения о порядке и условиях предоставления субсидии на выполнение государственного (муниципального) задания на оказание государственных (муниципальных) услуг (выполнение работ)"</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ежеквартального отчета о выполнении соглашения о порядке и условиях предоставления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01.02.2022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20.01.2023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"Планирование мероприятий, направленных на мотивирование граждан к ведению здорового образа жизни посредством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информационных материалов для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1.14.2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"Изготовление и распространение полиграфической продукции, приобретение методических пособий, литературы, видеоматериалов, буклетов, направленных на профилактику алкоголизма и наркомании."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Хайруллин Н. Р., Директор департамента молодёжной политики и туризма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информационно-коммуникационной кампании с использованием основных телекоммуникационных каналов связи для всех целевых аудиторий.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1.15.2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мероприятиях по мотивированию граждан к ведению здорового образа жизни в соответствии с планом."</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Колтунов Е. Е., Директор департамента культуры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28</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"Планирование мероприятий, направленных на мотивирование граждан к ведению здорового образа жизни посредством проведения информационно-коммуникационной кампании .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информационных материалов для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1.17.2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"Изготовление и распространение полиграфической продукции, приобретение методических пособий, литературы, видеоматериалов, буклетов, направленных на профилактику алкоголизма и наркомании."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Хайруллин Н. Р., Директор департамента молодёжной политики и туризма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29</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информационно-коммуникационной кампании с использованием основных телекоммуникационных каналов связи для всех целевых аудиторий.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1.18.2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мероприятиях по мотивированию граждан к ведению здорового образа жизни в соответствии с планом.</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Колтунов Е. Е., Директор департамента культуры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"Планирование мероприятий, направленных на мотивирование граждан к ведению здорового образа жизни посредством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1.20</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1.20.1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информационных материалов для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1.20.2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"Изготовление и распространение полиграфической продукции, приобретение методических пособий, литературы, видеоматериалов, буклетов, направленных на профилактику алкоголизма и наркомании."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Хайруллин Н. Р., Директор департамента молодёжной политики и туризма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информационно-коммуникационной кампании с использованием основных телекоммуникационных каналов связи для всех целевых аудиторий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мероприятиях по мотивированию граждан к ведению здорового образа жизни в соответствии с планом."</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Колтунов Е. Е., Директор департамента культуры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"Планирование мероприятий, направленных на мотивирование граждан к ведению здорового образа жизни посредством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информационных материалов для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1.23.2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"Изготовление и распространение полиграфической продукции, приобретение методических пособий, литературы, видеоматериалов, буклетов, направленных на профилактику алкоголизма и наркомании."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Хайруллин Н. Р., Директор департамента молодёжной политики и туризма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информационно-коммуникационной кампании с использованием основных телекоммуникационных каналов связи для всех целевых аудиторий.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1.24.2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мероприятиях по мотивированию граждан к ведению здорового образа жизни в соответствии с планом."</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Колтунов Е. Е., Директор департамента культуры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"Планирование мероприятий, направленных на мотивирование граждан к ведению здорового образа жизни посредством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информационно-коммуникационной кампании с использованием основных телекоммуникационных каналов связи для всех целевых аудиторий.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1.26.2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мероприятиях по мотивированию граждан к ведению здорового образа жизни в соответствии с планом."</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Колтунов Е. Е., Директор департамента культуры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информационных материалов для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1.27.2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"Изготовление и распространение полиграфической продукции, приобретение методических пособий, литературы, видеоматериалов, буклетов, направленных на профилактику алкоголизма и наркомании."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Хайруллин Н. Р., Директор департамента молодёжной политики и туризма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"Планирование мероприятий, направленных на мотивирование граждан к ведению здорового образа жизни посредством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информационных материалов для проведения информационно-коммуникационной кампании.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1.29.2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"Изготовление и распространение полиграфической продукции, приобретение методических пособий, литературы, видеоматериалов, буклетов, направленных на профилактику алкоголизма и наркомании."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Хайруллин Н. Р., Директор департамента молодёжной политики и туризма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1.30</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1.30.1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в мероприятиях по мотивированию граждан к ведению здорового образа жизни.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Колтунов Е. Е., Директор департамента культуры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процедуры соглашения о порядке и условиях предоставления субсидий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"Формирование ежеквартального отчета о выполнении соглашения о порядке и условиях предоставления на выполнение государственного задания на оказание государственных услуг."</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01.02.2024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"Разработан и направлен в законодательный орган государственной власти нормативный правовой акт об установлении дополнительных ограничений розничной продажи алкогольной продукции."</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Разработка проекта правового акта в соответствии с федеральными нормативными актами, направленного на ограничение розничной продажи алкогольной продукции. </w:t>
            </w:r>
          </w:p>
          <w:p/>
        </w:tc>
      </w:tr>
      <w:tr>
        <w:trPr>
          <w:trHeight w:hRule="exact" w:val="150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"Акт разработан"</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01.10.2019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установленных ограничений розничной продажи алкогольной продукции в муниципальных образованиях Ямало-Ненецкого автономного округа."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01.06.2019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"Изучение опыта субъектов Российской Федерации по установлению дополнительных ограничений розничной продажи алкогольной продукции."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01.08.2019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2.1.3</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исследования по вопросу формирования и (или) тематике акта."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01.08.2019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2.1.4</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проекта нормативного правового акта об установлении дополнительных ограничений розничной продажи алкогольной продукции."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01.10.2019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"Акт внесен в высший исполнительный орган государственной власти "</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"Согласование и внесение проекта нормативного правового акта в законодательный орган государственной власти."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01.10.2019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 Директор департамента экономики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865"/>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"Все муниципальные образований Ямало-Ненецкого автономного округа (100%) внедрили муниципальные программы по укреплению общественного здоровья."</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Разработка модельной муниципальной программы по укреплению общественного здоровья; разработка модельной муниципальной программы, направленной на профилактику и раннюю диагностику заболеваний мужской репродуктивной сферы; разработка модельной региональной и муниципальной программы по первичной профилактике заболеваний полости рта. Утверждение муниципальных программ по укреплению общественного здоровья. Во всех муниципальных образованиях осуществлено внедрение утвержденных в установленном порядке муниципальных программ по укреплению общественного здоровья, включающих мероприятия по снижению действия основных факторов риска неинфекционных заболеваний (далее-НИЗ), первичной профилактике заболеваний полости рта, а также мероприятий, направленных на профилактику заболеваний репродуктивной сферы у мужчин. </w:t>
            </w:r>
          </w:p>
          <w:p/>
        </w:tc>
      </w:tr>
      <w:tr>
        <w:trPr>
          <w:trHeight w:hRule="exact" w:val="2221"/>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07"/>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модельной муниципальной программы по укреплению общественного здоровья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модельной муниципальной программы, направленной на профилактику и раннюю диагностику заболеваний мужской репродуктивной сферы."</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3.1.3</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модельной региональной и муниципальной программы по первичной профилактике заболеваний полости рта.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демографических и медицинских показателей в разрезе муниципальных образований Ямало-Ненецкого автономного округа."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Подорога А. А., Глава Администрации муниципального образования город Муравленко</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муниципальных программ по укреплению общественного здоровья. </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Ответственные соисполнители: А.В. Романов,Л.Г. Дяченко.</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15.08.2020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Подорога А. А., Глава Администрации муниципального образования город Муравленко</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8"/>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3.4.1</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муниципальных программ по укреплению здоровья населения, включающих мероприятия по первичной профилактике стоматологических заболеваний, а также направленных на сокращение действий факторов риска развития неинфекционных заболеваний у мужчин трудоспособного возраста.</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Ответственные соисполнители: А.В. Романов,  Л.Г. Дяченко. "</w:t>
            </w:r>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15.08.2020</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Подорога А. А., Глава Администрации муниципального образования город Муравленко</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33"/>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Кононенко И. Л., Глава Администрации мунипального образования город Салехард</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муниципальных программ по укреплению общественного здоровья. </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Ответственные соисполнители: А.М. Трескова, А.М. Гаранин."</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Кононенко И. Л., Глава Администрации мунипального образования город Салехард</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Кононенко И. Л., Глава Администрации мунипального образования город Салехард</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"ГБУЗ ЯНАО «Центр медицинской профилактики» будет проведен анализ разработанных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 итогам анализа будут сформированы предложения по доработке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муниципальных программ по укреплению здоровья населения.</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Ответственные соисполнители: А.М. Трескова, А.М. Гаранин."</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Кононенко И. Л., Глава Администрации мунипального образования город Салехард</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Костогриз И. И., Глава Администрации муниципального образования Новый Уренгой</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"ГБУЗ ЯНАО «Центр медицинской профилактики» будет проведен анализ разработанных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 итогам анализа будут сформированы предложения по доработке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Костогриз И. И., Глава Администрации муниципального образования Новый Уренгой</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муниципальных программ по укреплению общественного здоровья.</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А.Н. Нестерук."</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Костогриз И. И., Глава Администрации муниципального образования Новый Уренгой</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3.10</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0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3.10.1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муниципальных программ по укреплению здоровья.</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А.Н. Нестерук."</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Костогриз И. И., Глава Администрации муниципального образования Новый Уренгой</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Сакал И. И., Глава Администрации муниципального образования Приуральский район</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"ГБУЗ ЯНАО «Центр медицинской профилактики» будет проведен анализ разработанных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 итогам анализа будут сформированы предложения по доработке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50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Сакал И. И., Глава Администрации муниципального образования Приуральский район</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муниципальных программ по укреплению общественного здоровья.</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Ответственные соисполнители: А.Н.Кугаевский,А.В. Головин. </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Сакал И. И., Глава Администрации муниципального образования Приуральский район</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муниципальных программ по укреплению здоровья.</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Ответственные соисполнители: А.Н.Кугаевский,А.В. Головин. </w:t>
            </w: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Сакал И. И., Глава Администрации муниципального образования Приуральский район</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"ГБУЗ ЯНАО «Центр медицинской профилактики» будет проведен анализ разработанных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3.14.2</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 итогам анализа будут сформированы предложения по доработке муниципальных программ по укреплению общественного здоровья."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25.02.2024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Фишер Ю. В., Глава Администрации муниципального образования Красноселькупский район</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муниципальных программ по укреплению общественного здоровья.</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соисполнитель:В.П.Паршаков."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Фишер Ю. В., Глава Администрации муниципального образования Красноселькупский район</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муниципальных программ по укреплению здоровья.</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В.П.Паршаков"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01.04.2024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Фишер Ю. В., Глава Администрации муниципального образования Красноселькупский район</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55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"Подготовлен и опубликован доклад о состоянии здорового питания в Ямало-Ненецком автономном округе."</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30.09.2024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На основании сведений системы мониторинга за состоянием питания различных групп населения в ЯНАО, результатов лабораторного контроля продуктов питания Управлением Роспотребнадзора в ЯНАО в 2020 году будет подготовлен и опубликован доклад о состоянии здорового питания в Ямало-Ненецком автономном округе.</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"Обобщение данных мониторинга и лабораторных исследований.</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В.М. Ткачева.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структуры питания различных групп населения Ямало-Ненецкого автономного округа.</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В.М. Ткачева.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30.09.2020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6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"Подготовка к опубликованию доклада о состоянии питания населения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30.09.2020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 Начальник отдела организации надзора, социально-гигиенического мониторинга, лицензирования и государственной регистрации</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"Обобщение данных мониторинга и лабораторных исследований.</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В.М. Ткачева.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структуры питания различных групп населения Ямало-Ненецкого автономного округа."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30.09.2022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6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"Подготовка к опубликованию доклада о состоянии питания населения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30.09.2022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 Начальник отдела организации надзора, социально-гигиенического мониторинга, лицензирования и государственной регистрации</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"Обобщение данных мониторинга и лабораторных исследован.</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В.М. Ткачева.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структуры питания различных групп населения Ямало-Ненецкого автономного округа.</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В.М. Ткачева.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30.09.2024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6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"Подготовка к опубликованию доклада о состоянии питания населения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30.09.2024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 Начальник отдела организации надзора, социально-гигиенического мониторинга, лицензирования и государственной регистрации</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29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"Обеспечен доступ населения к отечественным пищевым продуктам, способствующим устранению дефицита микро- и макронутриентов, в том числе усилен лабораторный контроль за показателями качества пищевой продукции и соответствия ее принципам здорового питания."</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Анализ наличия возможности у населения приобретать пищевую продукцию отвечающую принципам здорового питания, что позволит дать заключение по обеспеченности населения доступом к таким продуктам и сформировать необходимые мероприятия по коррекции питания.</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"Определение перечня продукции, способствующей устранению дефицита микро- и макронутриентов."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обеспечения населения доступом к отечественным пищевым продуктам, способствующим устранению дефицита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"Усиление лабораторного контроля за показателями качества пищевой продукции и соответствия ее принципам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"Определение перечня продукции, способствующей устранению дефицита микро- и макронутриентов."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обеспечения населения доступом к отечественным пищевым продуктам, способствующим устранению дефицита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"Усиление лабораторного контроля за показателями качества пищевой продукции и соответствия ее принципам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"Определение перечня продукции, способствующей устранению дефицита микро- и макронутриентов."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обеспечения населения доступом к отечественным пищевым продуктам, способствующим устранению дефицита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"Усиление лабораторного контроля за показателями качества пищевой продукции и соответствия ее принципам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5.10</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5.10.1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"Определение перечня продукции, способствующей устранению дефицита микро- и макронутриентов."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обеспечения населения доступом к отечественным пищевым продуктам, способствующим устранению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"Усиление лабораторного контроля за показателями качества пищевой продукции и соответствия ее принципам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"Определение перечня продукции, способствующей устранению дефицита микро- и макронутриентов.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обеспечения населения доступом к отечественным пищевым продуктам, способствующим устранению дефицита микронутриентов.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"Усиление лабораторного контроля за показателями качества пищевой продукции и соответствия ее принципам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"Определение перечня продукции, способствующей устранению дефицита микро- и макронутриентов."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обеспечения населения доступом к отечественным пищевым продуктам, способствующим устранению дефицита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01.09.2024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 Заместитель руководителя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"Усиление лабораторного контроля за показателями качества пищевой продукции и соответствия с принципами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66"/>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"В Ямало-Ненецком автономном округе 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Проведение конкурса по отбору проектов на предоставление субсидий некоммерческим организациям, реализующих проекты по формированию приверженности здоровому образу жизни, размещение лучших проектов на официальном сайте департамента здравоохранения Ямало-Ненецкого автономного округа. Заключение соглашения между департаментом здравоохранения Ямало-Ненецкого автономного округа и социально ориентированной некоммерческой организацией победившей в конкурсе на предоставление субсидий социально ориентированным некоммерческим организациям на осуществление деятельности в сфере здравоохранения в Ямало-Ненецком автономном округе.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p/>
        </w:tc>
      </w:tr>
      <w:tr>
        <w:trPr>
          <w:trHeight w:hRule="exact" w:val="2221"/>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06"/>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60</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конкурса по отбору проектов на предоставление субсидий некоммерческим организациям, реализующих проекты по формированию приверженности здоровому образу жизни."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"Для реализации региональной программы по формированию приверженности здоровому образу жизни изготавливается соответствующая полиграфическая продукция, литература, видеоматериалы и др."</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конкурса по отбору проектов на предоставление субсидий некоммерческим организациям, реализующих проекты по формированию приверженности здоровому образу жизни."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"Для реализации региональной программы по формированию приверженности здоровому образу жизни изготавливается соответствующая полиграфическая продукция, литература, видеоматериалы и др."</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конкурса по отбору проектов на предоставление субсидий некоммерческим организациям, реализующих проекты по формированию приверженности здоровому образу жизни."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"Для реализации региональной программы по формированию приверженности здоровому образу жизни изготавливается соответствующая полиграфическая продукция, литература, видеоматериалы и др."</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6.10</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6.10.1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конкурса по отбору проектов на предоставление субсидий некоммерческим организациям, реализующих проекты по формированию приверженности здоровому образу жизни."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65</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"Для реализации региональной программы по формированию приверженности здоровому образу жизни изготавливается соответствующая полиграфическая продукция, литература, видеоматериалы и др."</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66</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конкурса по отбору проектов на предоставление субсидий некоммерческим организациям, реализующих проекты по формированию приверженности здоровому образу жизни."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"Для реализации региональной программы по формированию приверженности здоровому образу жизни изготавливается соответствующая полиграфическая продукция, литература, видеоматериалы и др."</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конкурса по отбору проектов на предоставление субсидий некоммерческим организациям, реализующих проекты по формированию приверженности здоровому образу жизни."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30.06.2024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68</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"Для реализации региональной программы по формированию приверженности здоровому образу жизни изготавливается соответствующая полиграфическая продукция, литература, видеоматериалы и др."</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203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3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"Реализация региональной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01.07.2024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 Первый заместитель директора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69</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"В 2019 году будет обеспечено размещение в эфире теле- и радиоканалов, на интернет-сайтах государственных и муниципальных СМИ Ямало-Ненецкого автономного округа не менее 600 тематических сюжетов, публикаций, направленных на пропаганду здорового образа жизни, физической культуры, спорта и здорового питания."</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 Директор департамента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В рамках муниципальных и государственных программ Ямало-Ненецкого автономного округа в телевизионных и радиопрограммах, на Интернет-сайтах государственных и муниципальных СМИ будет осуществлено производство сюжетов, публикаций, направленных на пропаганду здорового образа жизни, физической культуры, спорта и здорового питания. </w:t>
            </w:r>
          </w:p>
          <w:p/>
        </w:tc>
      </w:tr>
      <w:tr>
        <w:trPr>
          <w:trHeight w:hRule="exact" w:val="1533"/>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 Директор департамента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 рамках муниципальных и государственных программ Ямало-Ненецкого автономного округа в телевизионных и радиопрограммах, на Интернет-сайтах государственных и муниципальных СМИ будет осуществлено производство сюжетов, публикаций, направленных на пропаганду здорового образа жизни, физической культуры, спорта и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01.02.2019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 Директор департамента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70</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2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"В 2019 году будет обеспечено опубликование в периодических печатных изданиях государственных и муниципальных СМИ Ямало-Ненецкого автономного округа не менее 600 тематических материалов, направленных на пропаганду здорового образа жизни, физической культуры, спорта и здорового питания."</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 Директор департамента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В рамках муниципальных и государственных программ Ямало-Ненецкого автономного округа в периодических печатных изданиях государственных и муниципальных СМИ будет осуществлено производство публикаций, направленных на пропаганду здорового образа жизни, физической культуры, спорта и здорового питания.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 Директор департамента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9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 рамках муниципальных и государственных программ Ямало-Ненецкого автономного округа в периодических печатных изданиях государственных и муниципальных СМИ будет осуществлено производство публикаций, направленных на пропаганду здорового образа жизни, физической культуры, спорта и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01.02.2019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 Директор департамента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2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"Для работодателей Ямало-Ненецкого автономного округа разработаны и утверждены модельные корпоративные программы, содержащие наилучшие практики по укреплению здоровья работников."</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Разработка и обсуждение модельных корпоративных программ, содержащих наилучшие практики по укреплению здоровья работников. Одобрены и размещены на официальном сайте департамента здравоохранения Ямало-Ненецкого автономного округа корпоративные программы, содержащие наилучшие практики по укреплению здоровья работников.</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"Проведено исследование по вопросу формирования и (или) тематике документа "</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15.09.2019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российского опыта внедрения корпоративных программ укрепления здоровья на рабочих местах."</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15.03.2019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15.09.2019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"Документ разработан"</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модельной корпоративной программы по укреплению здоровья на рабочих местах."</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"Документ согласован с заинтересованными органами и организациями"</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"Согласование модельной корпоративной программы с департаментом здравоохранения Ямало-Ненецкого автономного округа."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72</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"Документ утвержден (подписан)"</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"Утверждение модельной корпоративной программы, содержащей наилучшие практики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"Документ опубликован"</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"Модельная корпоративная программа, содержащая наилучшие практики по укреплению здоровья работников направлена для размещения на официальном сайте департамента здравоохранения Ямало-Ненецкого автономного округа."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01.11.2019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282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"Обеспечение внедрения разработанных научно-обоснованных адресных образовательных и просветительских программ по вопросам здорового питания в Ямало-Ненецком автономном округе."</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Будут проведены лекции, учебно-методические занятия, консультирование по вопросам здорового питания для различных групп населения, направленные на формирование приверженности граждан принципам здорового питания, мотивации к потреблению полноценного питания, снижающего дефицит микронутриентов.</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73</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"Обучение c применением образовательных и просветительских программ по вопросам здорового питания в традиционных формах, и с использованием информационно- коммуникационной сети «Интернет» в формате тематических сайтов.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24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 Начальник отдела санитарного надзора и надзора на транспорте</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"Будут подготовлены программы по вопросам здорового питания для различных групп населения, направленные на формирование приверженности граждан принципам здорового питания, мотивации к потреблению полноценного питания, снижающего дефицит микронутриентов. </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Л.А. Чащина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 Начальник отдела санитарного надзора и надзора на транспорте</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24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 Начальник отдела санитарного надзора и надзора на транспорте</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"Будут подготовлены программы по вопросам здорового питания для различных групп населения, направленные на формирование приверженности граждан принципам здорового питания, мотивации к потреблению полноценного питания, снижающего дефицит микронутриентов.</w:t>
            </w:r>
          </w:p>
          <w:p>
            <w:pPr>
              <w:spacing w:line="230"/>
              <w:jc w:val="both"/>
              <w:rPr>
                <w:rFonts w:ascii="Times New Roman" w:hAnsi="Times New Roman" w:eastAsia="Times New Roman" w:cs="Times New Roman"/>
                <w:color w:val="000000"/>
                <w:sz w:val="24"/>
                <w:spacing w:val="-2"/>
              </w:rPr>
            </w:pPr>
          </w:p>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соисполнитель: Л.А. Чащина.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 Начальник отдела санитарного надзора и надзора на транспорте</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"Обучение с  применением образовательных и просветительских программ по вопросам здорового питания в традиционных формах, и с использованием информационно –коммуникационной сети  «Интернет» в формате тематических сайтов."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"Мероприятия по контрольной точке отсутствуют"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75</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08"/>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"ФБУЗ «Центр гигиены и эпидемиологии в ЯНАО»  будут подготовлены материалы для проведения лекций, учебно-методических занятий, консультирования по вопросам здорового питания для различных групп населения, направленных на формирование приверженности граждан принципам здорового питания, мотивации к потреблению полноценного питания, снижающего дефицит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"Обучение по вопросам здорового питания в традиционных формах, и с использованием информационно –коммуникационной сети  «Интернет» в формате тематических сайтов."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76</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08"/>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"ФБУЗ «Центр гигиены и эпидемиологии в ЯНАО»  будут подготовлены материалы для проведения лекций, учебно-методических занятий, консультирования по вопросам здорового питания для различных групп населения, направленных на формирование приверженности граждан принципам здорового питания, мотивации к потреблению полноценного питания, снижающего дефицит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"Обучение по вопросам здорового питания в традиционных формах, и с использованием информационно –коммуникационной сети  «Интернет» в формате тематических сайтов."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548"/>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"Проведена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15.06.2021</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Швецов И. В., Первый заместитель директора департамента здравоохранения Ямало-Ненецкого автономного округа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 Разработка и внедрение дополнительных решений по модельным корпоративным программам, содержащих наилучшие практики по укреплению здоровья работников.</w:t>
            </w:r>
          </w:p>
          <w:p/>
        </w:tc>
      </w:tr>
      <w:tr>
        <w:trPr>
          <w:trHeight w:hRule="exact" w:val="1533"/>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реализации корпоративной программы внедренной на пилотном предприятии Ямало-Ненецкого автономного округа."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"Разработка дополнительных решений по модельным корпоративным программам.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15.05.2021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15.06.2021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дополнительных решений в модельные корпоративные программы,  содержащие наилучшие практики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15.06.2021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78</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547"/>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"Обеспечение печатной продукцией по вопросам здорового питания (журналы, брошюры, буклеты, плакаты) не менее 5 Муниципальных образований Ямало-Ненецкого автономного округа."</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Управление Роспотребнадзора по ЯНАО обеспечит распространение созданной печатной продукции по вопросам здорового питания в субъектах Российской Федерации будет способствовать развитию формирования приверженности граждан принципам здорового питания и мотивации к потреблению полноценного питания, снижающего дефицит микронутриентов.</w:t>
            </w:r>
          </w:p>
          <w:p/>
        </w:tc>
      </w:tr>
      <w:tr>
        <w:trPr>
          <w:trHeight w:hRule="exact" w:val="1533"/>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55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ЯНАО подготовит печатную продукцию по вопросам здорового питания в субъектах Российской Федерации, которая будет способствовать развитию формирования приверженности граждан принципам здорового питания и мотивации к потреблению полноценного питания, снижающего дефицит микронутриентов."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79</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ЯНАО обеспечит распространение печатной продукции по вопросам здорового питания."</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934"/>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"Обеспечено не менее 10 демонстраций (передач) рекламно-информационных материалов по телевидению, радио и в информационно-телекоммуникационной сети «Интернет» и не менее 2 рекламно-информационных материалов по вопросам здорового питания."</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Управление Роспотребнадзора обеспечит демонстрацию (передачи) созданных рекламно-информационных материалов по вопросам здорового питания по телевидению, радио и в информационно-телекоммуникационной сети «Интернет», что будет способствовать развитию формирования приверженности граждан принципам здорового питания и мотивации к потреблению полноценного питания, снижающего дефицит микронутриентов. </w:t>
            </w:r>
          </w:p>
          <w:p/>
        </w:tc>
      </w:tr>
      <w:tr>
        <w:trPr>
          <w:trHeight w:hRule="exact" w:val="1935"/>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80</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формирование материалов по вопросам здорового питания для размещения на телевидении,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9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демонстрацию (передачи) созданных рекламно-информационных материалов по вопросам здорового питания по телевидению,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81</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формирование материалов по вопросам здорового питания по телевидению,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9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демонстрацию (передачи созданных рекламно-информационных материалов по вопросам здорового питания по телевидению,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82</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формирование материалов по вопросам здорового питания для размещения на телевидении,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9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демонстрацию (передачи) созданных рекламно-информационных материалов по вопросам здорового питания по телевидению,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83</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формирование материалов по вопросам здорового питания для размещения на телевидении,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29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"Управление Роспотребнадзора по Ямало-Ненецкому автономному округу обеспечит демонстрацию (передачи) созданных рекламно-информационных материалов по вопросам здорового питания по телевидению, радио и в информационно-телекоммуникационной сети «Интернет»."</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82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"Обеспечено наполнение системы мониторинга за состоянием питания различных групп населения в регионах новыми аналитическими данными по оценке состояния питания населения."</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Изучение структуры питания различных групп населения по каждому субъекту с разработкой рекомендаций по здоровому питанию. Корректировка перечня показателей для системы мониторинга за состоянием питания различных групп населения, с учетом полученных аналитических данных, сбор и обобщение новых данных.</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"Изучение структуры питания различных групп населения по каждому субъекту с разработкой рекомендаций по здоровому питанию."</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85</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"Корректировка перечня показателей для системы мониторинга за состоянием питания различных групп населения, с учетом полученных аналитических данных, сбор и обобщение новых данных."</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"Изучение структуры питания различных групп населения по каждому субъекту с разработкой рекомендаций по здоровому питанию."</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"Корректировка перечня показателей для системы мониторинга за состоянием питания различных групп населения, с учетом полученных аналитических данных, сбор и обобщение новых данных."</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86</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"Изучение структуры питания различных групп населения по каждому субъекту с разработкой рекомендаций по здоровому питанию."</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"Корректировка перечня показателей для системы мониторинга за состоянием питания различных групп населения, с учетом полученных аналитических данных, сбор и обобщение новых данных."</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"Изучение структуры питания различных групп населения по каждому субъекту с разработкой рекомендаций по здоровому питанию."</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"Корректировка перечня показателей для системы мониторинга за состоянием питания различных групп населения, с учетом полученных аналитических данных, сбор и обобщение новых данных."</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88</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737"/>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"Подведены итоги информационно-коммуникационной кампании. "</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Будет осуществлен анализ и подведены итоги проведенной информационно-коммуникационной кампании в Ямало-Ненецком автономном округе. Проведение опроса среди граждан Ямало-Ненецкого автономного округа с целью мониторинга уровня информированности о проведенной информационно-коммуникационной кампании; результаты опроса включены в отчет об итогах реализации информационно-коммуникационной кампании. Подготовка и размещение отчета об итогах реализации информационно-коммуникационной кампании на официальном сайте, аккаунтах департамента здравоохранения Ямало-Ненецкого автономного округа.</w:t>
            </w:r>
          </w:p>
          <w:p/>
        </w:tc>
      </w:tr>
      <w:tr>
        <w:trPr>
          <w:trHeight w:hRule="exact" w:val="2722"/>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проведенной информационно-коммуникационной кампании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89</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опроса среди граждан Ямало-Ненецкого автономного округа с целью мониторинга уровня информированности о проведенной информационно-коммуникационной кампании."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"Подготовка отчета об итогах информационно-коммуникационной кампании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15.11.2019</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15.12.2019</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проведенной информационно-коммуникационной кампании в Ямало-Ненецком автономном."</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опроса среди граждан Ямало-Ненецкого автономного округа с целью мониторинга уровня информированности о проведенной информационно-коммуникационной кампании."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29"/>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90</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"Подготовка отчета об итогах информационно-коммуникационной кампании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"Анализ проведенной информационно-коммуникационной кампании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опроса среди граждан Ямало-Ненецкого автономного округа с целью мониторинга уровня информированности о проведенной информационно-коммуникационной кампании"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15.10.2024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"Подготовка отчета об итогах информационно-коммуникационной кампании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91</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805"/>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"Внедрены корпоративные программы, содержащие наилучшие практики по укреплению здоровья работников в муниципальных образованиях Ямало-Ненецкого автономного округа."</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Проведение информационно-разъяснительной работы с работодателями в целях внедрения корпоративных программ по укреплению здоровья работников. Внедрение модельной корпоративной программы укрепления здоровья на одном пилотном предприятии Ямало-Ненецкого автономного округа. Отчет о внедрении корпоративной программы, содержащей наилучшие практики по укреплению здоровья работников.</w:t>
            </w:r>
          </w:p>
          <w:p/>
        </w:tc>
      </w:tr>
      <w:tr>
        <w:trPr>
          <w:trHeight w:hRule="exact" w:val="1805"/>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5"/>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информационно-разъяснительной работы с работодателями в целях внедрения корпоративных программ по укреплению здоровья работников.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15.06.2021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92</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1"/>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медицинских организаций в санитарно-просветительских мероприятиях (проведение школ, лекционных занятий по формированию здорового образа жизни, отказу от курения и употребления алкогольных напитков, переходу на здоровое питание и другое)."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6"/>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не менее чем на одном предприятии  модельных корпоративных программ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15.07.2021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806"/>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"Проведена оценка результатов (эффективности) информационно-коммуникационной кампании по вопросам здорового питания с использованием основных коммуникационных каналов для всех целевых аудиторий."</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Управление Роспотребнадзора по Ямало-Ненецкому автономному округу обеспечит распространение созданной печатной продукции тиражом не менее 1 000 экземпляров по вопросам здорового питания в Ямало-Ненецком автономном округе, что будет способствовать развитию формирования приверженности граждан принципам здорового питания и мотивации к потреблению полноценного питания, снижающего дефицит микронутриентов.</w:t>
            </w:r>
          </w:p>
          <w:p/>
        </w:tc>
      </w:tr>
      <w:tr>
        <w:trPr>
          <w:trHeight w:hRule="exact" w:val="1805"/>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93</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29"/>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анализа проведенной информационно-коммуникационной кампании по вопросам здорового питания в Ямало-Ненецком автономном округе."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805"/>
        </w:trPr>
        <w:tc>
          <w:tcPr>
            <w:tcW w:w="716"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5302"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"Внедрены корпоративные программы, содержащие наилучшие практики по укреплению здоровья работников в муниципальных образованиях Ямало-Ненецкого автономного округа."</w:t>
            </w:r>
            <w:r>
              <w:rPr>
                <w:color w:val="FFFFFF"/>
                <w:sz w:val="7.5"/>
                <w:szCs w:val="7.5"/>
                <w:rFonts w:ascii="Times New Roman" w:hAnsi="Times New Roman" w:eastAsia="Times New Roman" w:cs="Times New Roman"/>
                <w:spacing w:val="-2"/>
              </w:rPr>
              <w:t xml:space="preserve">0</w:t>
            </w:r>
          </w:p>
          <w:p/>
        </w:tc>
        <w:tc>
          <w:tcPr>
            <w:tcW w:w="1433"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 Директор департамента здравоохранения Ямало-Ненецкого автономного округа</w:t>
            </w:r>
          </w:p>
        </w:tc>
        <w:tc>
          <w:tcPr>
            <w:tcW w:w="4156" w:type="dxa"/>
            <w:gridSpan w:val="2"/>
            <w:vMerge w:val="restart"/>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 Проведение информационно-разъяснительной работы с работодателями в целях внедрения корпоративных программ по укреплению здоровья работников. Внедрение модельных корпоративных программ укрепления здоровья не менее чем на двух предприятиях Ямало-Ненецкого автономного округа. Отчет о внедрении корпоративных программ, содержащих наилучшие практики по укреплению здоровья работников.</w:t>
            </w:r>
          </w:p>
          <w:p/>
        </w:tc>
      </w:tr>
      <w:tr>
        <w:trPr>
          <w:trHeight w:hRule="exact" w:val="1806"/>
        </w:trPr>
        <w:tc>
          <w:tcPr>
            <w:tcW w:w="716"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c>
          <w:tcPr>
            <w:tcW w:w="1433"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1432"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2579" w:type="dxa"/>
            <w:vMerge/>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94</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информационно-разъяснительной работы с работодателями в целях внедрения корпоративных программ по укреплению здоровья работников. "</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медицинских организаций в санитарно-просветительских мероприятиях (проведение школ, лекционных занятий по формированию здорового образа жизни, отказу от курения и употребления алкогольных напитков, переходу на здоровое питание и другое)."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23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модельной корпоративной программы на пилотном предприятии Ямало-Ненецкого автономного округа."</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01.05.2020</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15.12.2020</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95</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информационно-разъяснительной работы с работодателями в целях внедрения корпоративных программ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18.5</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18.5.1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медицинских организаций в санитарно-просветительских мероприятиях (проведение школ, лекционных занятий по формированию здорового образа жизни, отказу от курения и употребления алкогольных напитков, переходу на здоровое питание и другое)."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18.6</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18.6.1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не менее чем на одном предприятии модельных корпоративных программ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18.7</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96</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18.7.1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информационно-разъяснительной работы с работодателями в целях внедрения корпоративных программ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18.8</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18.8.1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медицинских организаций в санитарно-просветительских мероприятиях (проведения школ, лекционных занятий по формированию образа жизни, отказа от курения и употребления алкогольных напитков, переходу на здоровое питание и другое)."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18.9</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18.9.1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не менее чем на одном предприятиях модельных корпоративных программ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974"/>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18.10</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"Утверждены (одобрены, сформированы) документы, необходимые для оказания услуги (выполнения работы)"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97</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49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18.10.1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"Проведение информационно-разъяснительной работы с работодателями в целях внедрения корпоративных программ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23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"Для оказания услуги (выполнения работы) подготовлено материально-техническое (кадровое) обеспечение"</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2020"/>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"Участие медицинских организаций в санитарно-просветительских мероприятиях (проведения школ, лекционных занятий по формированию образа жизни, отказа от курения и употребления алкогольных напитков, переходу на здоровое питание и другое)."</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717"/>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18.12.1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"Внедрение не менее чем на одном предприятиях модельных корпоративных программ по укреплению здоровья работников."</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15.04.2024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  Главный врач</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Отчет </w:t>
            </w:r>
          </w:p>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both"/>
            </w:pPr>
            <w:r>
              <w:rPr>
                <w:sz w:val="24"/>
                <w:szCs w:val="24"/>
                <w:rFonts w:ascii="Times New Roman" w:hAnsi="Times New Roman" w:eastAsia="Times New Roman" w:cs="Times New Roman"/>
                <w:spacing w:val="-2"/>
              </w:rPr>
              <w:t xml:space="preserve">Результат "Обеспечено пополнение новыми приобретенными данными информационного ресурса, направленного на защиту потребителей от недостоверной информации о продукции."</w:t>
            </w:r>
            <w:r>
              <w:rPr>
                <w:color w:val="FFFFFF"/>
                <w:sz w:val="7.5"/>
                <w:szCs w:val="7.5"/>
                <w:rFonts w:ascii="Times New Roman" w:hAnsi="Times New Roman" w:eastAsia="Times New Roman" w:cs="Times New Roman"/>
                <w:spacing w:val="-2"/>
              </w:rPr>
              <w:t xml:space="preserve">0</w:t>
            </w:r>
          </w:p>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Будет обеспечено наполнение новыми приобретенными данными информационного ресурса, направленного на защиту потребителей от недостоверной информации о продукции.</w:t>
            </w:r>
          </w:p>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98</w:t>
            </w:r>
          </w:p>
        </w:tc>
      </w:tr>
      <w:tr>
        <w:trPr>
          <w:trHeight w:hRule="exact" w:val="430"/>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19.1</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19.1.1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"Регулярное пополнение новыми данными информационного ресурса, направленного на защиту потребителей от недостаточной информации о продукции."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15.01.2021</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15.12.2021</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19.2</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19.2.1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"Регулярное пополнение новыми данными информационного ресурса, направленного на защиту потребителей от недостаточной информации о продукции."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15.01.2022</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15.12.2022</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3"/>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19.3</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430"/>
        </w:trPr>
        <w:tc>
          <w:tcPr>
            <w:tcW w:w="15618" w:type="dxa"/>
            <w:gridSpan w:val="8"/>
            <w:tcBorders>
              <w:top w:val="single" w:sz="5" w:space="0" w:color="000000"/>
              <w:bottom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99</w:t>
            </w:r>
          </w:p>
        </w:tc>
      </w:tr>
      <w:tr>
        <w:trPr>
          <w:trHeight w:hRule="exact" w:val="429"/>
        </w:trPr>
        <w:tc>
          <w:tcPr>
            <w:tcW w:w="716"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5302"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Наименование результата, мероприятия, контрольной точки</w:t>
            </w:r>
          </w:p>
        </w:tc>
        <w:tc>
          <w:tcPr>
            <w:tcW w:w="2865"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Сроки реализации</w:t>
            </w:r>
          </w:p>
        </w:tc>
        <w:tc>
          <w:tcPr>
            <w:tcW w:w="2579" w:type="dxa"/>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исполнитель</w:t>
            </w:r>
          </w:p>
        </w:tc>
        <w:tc>
          <w:tcPr>
            <w:tcW w:w="4156" w:type="dxa"/>
            <w:gridSpan w:val="2"/>
            <w:vMerge w:val="restart"/>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Вид документа и характеристика</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результата</w:t>
            </w:r>
          </w:p>
        </w:tc>
      </w:tr>
      <w:tr>
        <w:trPr>
          <w:trHeight w:hRule="exact" w:val="430"/>
        </w:trPr>
        <w:tc>
          <w:tcPr>
            <w:tcW w:w="716"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5302"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3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начало</w:t>
            </w:r>
          </w:p>
        </w:tc>
        <w:tc>
          <w:tcPr>
            <w:tcW w:w="1432"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окончание</w:t>
            </w:r>
          </w:p>
        </w:tc>
        <w:tc>
          <w:tcPr>
            <w:tcW w:w="2579" w:type="dxa"/>
            <w:vMerge/>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4156" w:type="dxa"/>
            <w:gridSpan w:val="2"/>
            <w:vMerge/>
            <w:vAlign w:val="cente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3"/>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19.3.1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"Регулярное пополнение новыми данными информационного ресурса, направленного на защиту потребителей от недостаточной информации о продукции."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15.01.2023</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15.12.2023</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r>
        <w:trPr>
          <w:trHeight w:hRule="exact" w:val="1762"/>
        </w:trPr>
        <w:tc>
          <w:tcPr>
            <w:tcW w:w="716"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19.4</w:t>
            </w:r>
          </w:p>
        </w:tc>
        <w:tc>
          <w:tcPr>
            <w:tcW w:w="5302"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Контрольная точка "Услуга оказана (работы выполнены)"</w:t>
            </w:r>
          </w:p>
        </w:tc>
        <w:tc>
          <w:tcPr>
            <w:tcW w:w="1433" w:type="dxa"/>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w:t>
            </w:r>
          </w:p>
        </w:tc>
        <w:tc>
          <w:tcPr>
            <w:tcW w:w="1432"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19.4.1</w:t>
            </w:r>
          </w:p>
        </w:tc>
        <w:tc>
          <w:tcPr>
            <w:tcW w:w="5302"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both"/>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Мероприятие "Регулярное пополнение новыми данными информационного ресурса, направленного на защиту потребителей от недостаточной информации."</w:t>
            </w:r>
          </w:p>
        </w:tc>
        <w:tc>
          <w:tcPr>
            <w:tcW w:w="143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15.01.2024</w:t>
            </w:r>
          </w:p>
        </w:tc>
        <w:tc>
          <w:tcPr>
            <w:tcW w:w="1432"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15.12.2024</w:t>
            </w:r>
          </w:p>
        </w:tc>
        <w:tc>
          <w:tcPr>
            <w:tcW w:w="257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 Руководитель Управления Роспотребнадзора по Ямало-Ненецкому автономному округу</w:t>
            </w:r>
          </w:p>
        </w:tc>
        <w:tc>
          <w:tcPr>
            <w:tcW w:w="415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jc w:val="center"/>
            </w:pPr>
            <w:r>
              <w:rPr>
                <w:sz w:val="24"/>
                <w:szCs w:val="24"/>
                <w:rFonts w:ascii="Times New Roman" w:hAnsi="Times New Roman" w:eastAsia="Times New Roman" w:cs="Times New Roman"/>
                <w:spacing w:val="-2"/>
              </w:rPr>
              <w:t xml:space="preserve">Прочий тип документа </w:t>
            </w:r>
          </w:p>
          <w:p/>
        </w:tc>
      </w:tr>
    </w:tbl>
    <w:p>
      <w:pPr>
        <w:sectPr>
          <w:pgSz w:w="16834" w:h="11909" w:orient="landscape"/>
          <w:pgMar w:top="1134" w:right="576" w:bottom="526" w:left="576" w:header="1134" w:footer="526" w:gutter="0"/>
        </w:sectPr>
      </w:pPr>
    </w:p>
    <w:tbl>
      <w:tblPr>
        <w:tblStyle w:val="a1"/>
        <w:tblW w:w="0" w:type="dxa"/>
        <w:tblLayout w:type="fixed"/>
        <w:tblCellMar>
          <w:top w:w="0" w:type="dxa"/>
          <w:left w:w="0" w:type="dxa"/>
          <w:bottom w:w="0" w:type="dxa"/>
          <w:right w:w="0" w:type="dxa"/>
        </w:tblCellMar>
        <w:tblLook w:val="04A0"/>
      </w:tblPr>
      <w:tblGrid>
        <w:gridCol w:w="716"/>
        <w:gridCol w:w="144"/>
        <w:gridCol w:w="3295"/>
        <w:gridCol w:w="3009"/>
        <w:gridCol w:w="3295"/>
        <w:gridCol w:w="1003"/>
        <w:gridCol w:w="1863"/>
        <w:gridCol w:w="2293"/>
        <w:gridCol w:w="14"/>
      </w:tblGrid>
      <w:tr>
        <w:trPr>
          <w:trHeight w:hRule="exact" w:val="143"/>
        </w:trPr>
        <w:tc>
          <w:tcPr>
            <w:tcW w:w="15632" w:type="dxa"/>
            <w:gridSpan w:val="9"/>
          </w:tcPr>
          <w:p/>
        </w:tc>
      </w:tr>
      <w:tr>
        <w:trPr>
          <w:trHeight w:hRule="exact" w:val="287"/>
        </w:trPr>
        <w:tc>
          <w:tcPr>
            <w:tcW w:w="11462" w:type="dxa"/>
            <w:gridSpan w:val="6"/>
          </w:tcPr>
          <w:p/>
        </w:tc>
        <w:tc>
          <w:tcPr>
            <w:tcW w:w="4156" w:type="dxa"/>
            <w:gridSpan w:val="2"/>
            <w:shd w:val="clear" w:color="auto" w:fill="auto"/>
          </w:tcPr>
          <w:p>
            <w:pPr>
              <w:spacing w:line="230"/>
              <w:rPr>
                <w:rFonts w:ascii="Times New Roman" w:hAnsi="Times New Roman" w:eastAsia="Times New Roman" w:cs="Times New Roman"/>
                <w:i/>
                <w:color w:val="000000"/>
                <w:sz w:val="24"/>
                <w:spacing w:val="-2"/>
              </w:rPr>
            </w:pPr>
            <w:r>
              <w:rPr>
                <w:rFonts w:ascii="Times New Roman" w:hAnsi="Times New Roman" w:eastAsia="Times New Roman" w:cs="Times New Roman"/>
                <w:i/>
                <w:color w:val="000000"/>
                <w:sz w:val="24"/>
                <w:spacing w:val="-2"/>
              </w:rPr>
              <w:t xml:space="preserve">(не подлежат утверждению)</w:t>
            </w:r>
          </w:p>
        </w:tc>
        <w:tc>
          <w:tcPr>
            <w:tcW w:w="14" w:type="dxa"/>
          </w:tcPr>
          <w:p/>
        </w:tc>
      </w:tr>
      <w:tr>
        <w:trPr>
          <w:trHeight w:hRule="exact" w:val="430"/>
        </w:trPr>
        <w:tc>
          <w:tcPr>
            <w:tcW w:w="15632" w:type="dxa"/>
            <w:gridSpan w:val="9"/>
          </w:tcPr>
          <w:p/>
        </w:tc>
      </w:tr>
      <w:tr>
        <w:trPr>
          <w:trHeight w:hRule="exact" w:val="430"/>
        </w:trPr>
        <w:tc>
          <w:tcPr>
            <w:tcW w:w="15618" w:type="dxa"/>
            <w:gridSpan w:val="8"/>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ДОПОЛНИТЕЛЬНЫЕ И ОБОСНОВЫВАЮЩИЕ МАТЕРИАЛЫ</w:t>
            </w:r>
          </w:p>
        </w:tc>
        <w:tc>
          <w:tcPr>
            <w:tcW w:w="14" w:type="dxa"/>
          </w:tcPr>
          <w:p/>
        </w:tc>
      </w:tr>
      <w:tr>
        <w:trPr>
          <w:trHeight w:hRule="exact" w:val="429"/>
        </w:trPr>
        <w:tc>
          <w:tcPr>
            <w:tcW w:w="15618" w:type="dxa"/>
            <w:gridSpan w:val="8"/>
            <w:vAlign w:val="bottom"/>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регионального проекта</w:t>
            </w:r>
          </w:p>
        </w:tc>
        <w:tc>
          <w:tcPr>
            <w:tcW w:w="14" w:type="dxa"/>
          </w:tcPr>
          <w:p/>
        </w:tc>
      </w:tr>
      <w:tr>
        <w:trPr>
          <w:trHeight w:hRule="exact" w:val="717"/>
        </w:trPr>
        <w:tc>
          <w:tcPr>
            <w:tcW w:w="15618" w:type="dxa"/>
            <w:gridSpan w:val="8"/>
            <w:tcMar>
              <w:top w:w="287" w:type="dxa"/>
            </w:tcMar>
            <w:vAlign w:val="center"/>
            <w:shd w:val="clear" w:color="auto" w:fill="auto"/>
          </w:tcPr>
          <w:p>
            <w:pPr>
              <w:spacing w:line="230"/>
              <w:jc w:val="center"/>
              <w:rPr>
                <w:rFonts w:ascii="Times New Roman" w:hAnsi="Times New Roman" w:eastAsia="Times New Roman" w:cs="Times New Roman"/>
                <w:b/>
                <w:color w:val="000000"/>
                <w:sz w:val="28"/>
                <w:spacing w:val="-2"/>
              </w:rPr>
            </w:pPr>
            <w:r>
              <w:rPr>
                <w:rFonts w:ascii="Times New Roman" w:hAnsi="Times New Roman" w:eastAsia="Times New Roman" w:cs="Times New Roman"/>
                <w:b/>
                <w:color w:val="000000"/>
                <w:sz w:val="28"/>
                <w:spacing w:val="-2"/>
              </w:rPr>
              <w:t xml:space="preserve">Укрепление общественного здоровья (Ямало-Ненецкий автономный округ)</w:t>
            </w:r>
          </w:p>
        </w:tc>
        <w:tc>
          <w:tcPr>
            <w:tcW w:w="14" w:type="dxa"/>
          </w:tcPr>
          <w:p/>
        </w:tc>
      </w:tr>
      <w:tr>
        <w:trPr>
          <w:trHeight w:hRule="exact" w:val="573"/>
        </w:trPr>
        <w:tc>
          <w:tcPr>
            <w:tcW w:w="15618" w:type="dxa"/>
            <w:gridSpan w:val="8"/>
            <w:vAlign w:val="center"/>
            <w:tcBorders>
              <w:bottom w:val="single" w:sz="5" w:space="0" w:color="000000"/>
            </w:tcBorders>
            <w:shd w:val="clear" w:color="auto" w:fill="auto"/>
          </w:tcPr>
          <w:p>
            <w:pPr>
              <w:spacing w:line="230"/>
              <w:jc w:val="center"/>
              <w:rPr>
                <w:rFonts w:ascii="Times New Roman" w:hAnsi="Times New Roman" w:eastAsia="Times New Roman" w:cs="Times New Roman"/>
                <w:color w:val="000000"/>
                <w:sz w:val="28"/>
                <w:spacing w:val="-2"/>
              </w:rPr>
            </w:pPr>
            <w:r>
              <w:rPr>
                <w:rFonts w:ascii="Times New Roman" w:hAnsi="Times New Roman" w:eastAsia="Times New Roman" w:cs="Times New Roman"/>
                <w:color w:val="000000"/>
                <w:sz w:val="28"/>
                <w:spacing w:val="-2"/>
              </w:rPr>
              <w:t xml:space="preserve">1.	Модель функционирования результатов и достижения показателей регионального проекта</w:t>
            </w:r>
          </w:p>
        </w:tc>
        <w:tc>
          <w:tcPr>
            <w:tcW w:w="14" w:type="dxa"/>
          </w:tcPr>
          <w:p/>
        </w:tc>
      </w:tr>
      <w:tr>
        <w:trPr>
          <w:trHeight w:hRule="exact" w:val="430"/>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tc>
        <w:tc>
          <w:tcPr>
            <w:tcW w:w="14" w:type="dxa"/>
            <w:tcBorders>
              <w:left w:val="single" w:sz="5" w:space="0" w:color="000000"/>
            </w:tcBorders>
          </w:tcPr>
          <w:p/>
        </w:tc>
      </w:tr>
      <w:tr>
        <w:trPr>
          <w:trHeight w:hRule="exact" w:val="2865"/>
        </w:trPr>
        <w:tc>
          <w:tcPr>
            <w:tcW w:w="15618" w:type="dxa"/>
            <w:gridSpan w:val="8"/>
            <w:tcBorders>
              <w:top w:val="single" w:sz="5" w:space="0" w:color="000000"/>
            </w:tcBorders>
          </w:tcPr>
          <w:p/>
        </w:tc>
        <w:tc>
          <w:tcPr>
            <w:tcW w:w="14" w:type="dxa"/>
          </w:tcPr>
          <w:p/>
        </w:tc>
      </w:tr>
      <w:tr>
        <w:trPr>
          <w:trHeight w:hRule="exact" w:val="2078"/>
        </w:trPr>
        <w:tc>
          <w:tcPr>
            <w:tcW w:w="15632" w:type="dxa"/>
            <w:gridSpan w:val="9"/>
          </w:tcPr>
          <w:p/>
        </w:tc>
      </w:tr>
      <w:tr>
        <w:trPr>
          <w:trHeight w:hRule="exact" w:val="2063"/>
        </w:trPr>
        <w:tc>
          <w:tcPr>
            <w:tcW w:w="15632" w:type="dxa"/>
            <w:gridSpan w:val="9"/>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14" w:type="dxa"/>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32" w:type="dxa"/>
            <w:gridSpan w:val="9"/>
          </w:tcPr>
          <w:p/>
        </w:tc>
      </w:tr>
      <w:tr>
        <w:trPr>
          <w:trHeight w:hRule="exact" w:val="143"/>
        </w:trPr>
        <w:tc>
          <w:tcPr>
            <w:tcW w:w="860" w:type="dxa"/>
            <w:gridSpan w:val="2"/>
            <w:shd w:val="clear" w:color="auto" w:fill="auto"/>
          </w:tcPr>
          <w:p>
            <w:pPr>
              <w:spacing w:line="230"/>
              <w:rPr>
                <w:rFonts w:ascii="Arial" w:hAnsi="Arial" w:eastAsia="Arial" w:cs="Arial"/>
                <w:color w:val="auto"/>
                <w:sz w:val="16"/>
                <w:spacing w:val="-2"/>
              </w:rPr>
            </w:pPr>
            <w:r>
              <w:rPr>
                <w:rFonts w:ascii="Arial" w:hAnsi="Arial" w:eastAsia="Arial" w:cs="Arial"/>
                <w:color w:val="auto"/>
                <w:sz w:val="16"/>
                <w:spacing w:val="-2"/>
              </w:rPr>
              <w:t xml:space="preserve">0</w:t>
            </w:r>
          </w:p>
        </w:tc>
        <w:tc>
          <w:tcPr>
            <w:tcW w:w="14758" w:type="dxa"/>
            <w:gridSpan w:val="6"/>
            <w:vAlign w:val="center"/>
            <w:shd w:val="clear" w:color="auto" w:fill="auto"/>
          </w:tcPr>
          <w:p/>
        </w:tc>
        <w:tc>
          <w:tcPr>
            <w:tcW w:w="14" w:type="dxa"/>
          </w:tcPr>
          <w:p/>
        </w:tc>
      </w:tr>
      <w:tr>
        <w:trPr>
          <w:trHeight w:hRule="exact" w:val="430"/>
        </w:trPr>
        <w:tc>
          <w:tcPr>
            <w:tcW w:w="15618" w:type="dxa"/>
            <w:gridSpan w:val="8"/>
            <w:vAlign w:val="center"/>
            <w:tcBorders>
              <w:bottom w:val="single" w:sz="5" w:space="0" w:color="000000"/>
            </w:tcBorders>
            <w:shd w:val="clear" w:color="auto" w:fill="auto"/>
          </w:tcPr>
          <w:p>
            <w:pPr>
              <w:rPr>
                <w:rFonts w:ascii="Times New Roman" w:hAnsi="Times New Roman" w:eastAsia="Times New Roman" w:cs="Times New Roman"/>
                <w:color w:val="000000"/>
                <w:sz w:val="28"/>
                <w:spacing w:val="-2"/>
              </w:rPr>
              <w:spacing w:line="230"/>
              <w:jc w:val="center"/>
            </w:pPr>
            <w:r>
              <w:rPr>
                <w:sz w:val="28"/>
                <w:szCs w:val="28"/>
                <w:rFonts w:ascii="Times New Roman" w:hAnsi="Times New Roman" w:eastAsia="Times New Roman" w:cs="Times New Roman"/>
                <w:spacing w:val="-2"/>
              </w:rPr>
              <w:t xml:space="preserve">3. Участники регионального проекта</w:t>
            </w:r>
          </w:p>
          <w:p/>
        </w:tc>
        <w:tc>
          <w:tcPr>
            <w:tcW w:w="14" w:type="dxa"/>
          </w:tcPr>
          <w:p/>
        </w:tc>
      </w:tr>
      <w:tr>
        <w:trPr>
          <w:trHeight w:hRule="exact" w:val="573"/>
        </w:trPr>
        <w:tc>
          <w:tcPr>
            <w:tcW w:w="716"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п/п</w:t>
            </w:r>
          </w:p>
        </w:tc>
        <w:tc>
          <w:tcPr>
            <w:tcW w:w="3439"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Роль в региональном проекте</w:t>
            </w:r>
          </w:p>
        </w:tc>
        <w:tc>
          <w:tcPr>
            <w:tcW w:w="3009"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Фамилия, инициалы</w:t>
            </w:r>
          </w:p>
        </w:tc>
        <w:tc>
          <w:tcPr>
            <w:tcW w:w="3295"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Должность</w:t>
            </w:r>
          </w:p>
        </w:tc>
        <w:tc>
          <w:tcPr>
            <w:tcW w:w="2866" w:type="dxa"/>
            <w:gridSpan w:val="2"/>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Непосредственный руководитель</w:t>
            </w:r>
          </w:p>
        </w:tc>
        <w:tc>
          <w:tcPr>
            <w:tcW w:w="2293" w:type="dxa"/>
            <w:vAlign w:val="cente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Занятость в проекте</w:t>
            </w:r>
          </w:p>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(процентов)</w:t>
            </w:r>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150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Администратор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Трапезников К.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Первый заместитель директора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Доля аудитории граждан старше 12 лет, охваченной коммуникационной кампанией по основным каналам: телевидение, радио и в информационно-телекоммуникационной сети «Интернет».</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Кравец М.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образования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Хайруллин Н. Р.</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молодёжной политики и туризма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960"/>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Масанов А. В.</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по физической культуре и спорту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430"/>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 Ямало-Ненецком автономном округе обеспечено внедрение модели организации и функционирования Центра общественного здоровья.</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7"/>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Разработан и направлен в законодательный орган государственной власти нормативный правовой акт об установлении дополнительных ограничений розничной продажи алкогольной продукции.</w:t>
            </w:r>
          </w:p>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Гусева С. Л.</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экономики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Калинин А.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Все муниципальные образований Ямало-Ненецкого автономного округа (100%) внедрили муниципальные программы по укреплению общественного здоровья.</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Головин А.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Шурышкарский район</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688"/>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14</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Подорога А. А.</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город Муравленко</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286"/>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w:t>
            </w:r>
          </w:p>
        </w:tc>
        <w:tc>
          <w:tcPr>
            <w:tcW w:w="14" w:type="dxa"/>
            <w:tcBorders>
              <w:left w:val="single" w:sz="5" w:space="0" w:color="000000"/>
            </w:tcBorders>
          </w:tcPr>
          <w:p/>
        </w:tc>
      </w:tr>
      <w:tr>
        <w:trPr>
          <w:trHeight w:hRule="exact" w:val="144"/>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Паршаков В. П.</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Тазовский район</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Нестерук А.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Пуровский район</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Кугаевский А. Н.</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Ямальский район</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Костогриз И. И.</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Новый Уренгой</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Кононенко И. Л.</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мунипального образования город Салехард</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Дяченко Л. Г.</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Надымский район</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Гаранин А.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город Губкинский</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Романов А.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город Ноябрьск</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Сакал И. И.</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Приуральский район</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688"/>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24</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Фишер Ю. В.</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муниципального образования Красноселькупский район</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Трескова М.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Глава Администрации города Лабытнанги</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429"/>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Подготовлен и опубликован доклад о состоянии здорового питания в Ямало-Ненецком автономном округе.</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организации надзора, социально-гигиенического мониторинга, лицензирования и государственной регистрации</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руководителя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 доступ населения к отечественным пищевым продуктам, способствующим устранению дефицита микро- и макронутриентов, в том числе усилен лабораторный контроль за показателями качества пищевой продукции и соответствия ее принципам здорового питания.</w:t>
            </w:r>
          </w:p>
          <w:p/>
        </w:tc>
        <w:tc>
          <w:tcPr>
            <w:tcW w:w="14" w:type="dxa"/>
            <w:tcBorders>
              <w:left w:val="single" w:sz="5" w:space="0" w:color="000000"/>
            </w:tcBorders>
          </w:tcPr>
          <w:p/>
        </w:tc>
      </w:tr>
      <w:tr>
        <w:trPr>
          <w:trHeight w:hRule="exact" w:val="960"/>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31</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руководителя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 Ямало-Ненецком автономном округе реализованы региональные программы по формированию приверженности здоровому образу жизни с привлечением социально ориентированных некоммерческих организаций и волонтерских движений.</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34</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 2019 году будет обеспечено размещение в эфире теле- и радиоканалов, на интернет-сайтах государственных и муниципальных СМИ Ямало-Ненецкого автономного округа не менее 600 тематических сюжетов, публикаций, направленных на пропаганду здорового образа жизни, физической культуры, спорта и здорового питания.</w:t>
            </w:r>
          </w:p>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974"/>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 2019 году будет обеспечено опубликование в периодических печатных изданиях государственных и муниципальных СМИ Ямало-Ненецкого автономного округа не менее 600 тематических материалов, направленных на пропаганду здорового образа жизни, физической культуры, спорта и здорового питания.</w:t>
            </w:r>
          </w:p>
          <w:p/>
        </w:tc>
        <w:tc>
          <w:tcPr>
            <w:tcW w:w="14" w:type="dxa"/>
            <w:tcBorders>
              <w:left w:val="single" w:sz="5" w:space="0" w:color="000000"/>
            </w:tcBorders>
          </w:tcPr>
          <w:p/>
        </w:tc>
      </w:tr>
      <w:tr>
        <w:trPr>
          <w:trHeight w:hRule="exact" w:val="688"/>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38</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39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Климентьев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7"/>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Для работодателей Ямало-Ненецкого автономного округа разработаны и утверждены модельные корпоративные программы, содержащие наилучшие практики по укреплению здоровья работников.</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Обеспечение внедрения разработанных научно-обоснованных адресных образовательных и просветительских программ по вопросам здорового питания в Ямало-Ненецком автономном округе.</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1476"/>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44</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организации надзора, социально-гигиенического мониторинга, лицензирования и государственной регистрации</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286"/>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8</w:t>
            </w:r>
          </w:p>
        </w:tc>
        <w:tc>
          <w:tcPr>
            <w:tcW w:w="14" w:type="dxa"/>
            <w:tcBorders>
              <w:left w:val="single" w:sz="5" w:space="0" w:color="000000"/>
            </w:tcBorders>
          </w:tcPr>
          <w:p/>
        </w:tc>
      </w:tr>
      <w:tr>
        <w:trPr>
          <w:trHeight w:hRule="exact" w:val="144"/>
        </w:trPr>
        <w:tc>
          <w:tcPr>
            <w:tcW w:w="15618" w:type="dxa"/>
            <w:gridSpan w:val="8"/>
            <w:vMerge/>
            <w:shd w:val="clear" w:color="auto" w:fill="auto"/>
          </w:tcPr>
          <w:p/>
        </w:tc>
        <w:tc>
          <w:tcPr>
            <w:tcW w:w="14" w:type="dxa"/>
          </w:tcPr>
          <w:p/>
        </w:tc>
      </w:tr>
      <w:tr>
        <w:trPr>
          <w:trHeight w:hRule="exact" w:val="429"/>
        </w:trPr>
        <w:tc>
          <w:tcPr>
            <w:tcW w:w="15618" w:type="dxa"/>
            <w:gridSpan w:val="8"/>
            <w:tcBorders>
              <w:bottom w:val="single" w:sz="5" w:space="0" w:color="000000"/>
            </w:tcBorders>
          </w:tcPr>
          <w:p/>
        </w:tc>
        <w:tc>
          <w:tcPr>
            <w:tcW w:w="14" w:type="dxa"/>
          </w:tcPr>
          <w:p/>
        </w:tc>
      </w:tr>
      <w:tr>
        <w:trPr>
          <w:trHeight w:hRule="exact" w:val="717"/>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Проведена оценка необходимости внедрения дополнительных решений в модельные корпоративные программы, содержащие наилучшие практики по укреплению здоровья работников.</w:t>
            </w:r>
          </w:p>
          <w:p/>
        </w:tc>
        <w:tc>
          <w:tcPr>
            <w:tcW w:w="14" w:type="dxa"/>
            <w:tcBorders>
              <w:left w:val="single" w:sz="5" w:space="0" w:color="000000"/>
            </w:tcBorders>
          </w:tcPr>
          <w:p/>
        </w:tc>
      </w:tr>
      <w:tr>
        <w:trPr>
          <w:trHeight w:hRule="exact" w:val="150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Швецов И.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Первый заместитель директора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0</w:t>
            </w:r>
          </w:p>
        </w:tc>
        <w:tc>
          <w:tcPr>
            <w:tcW w:w="14" w:type="dxa"/>
            <w:tcBorders>
              <w:left w:val="single" w:sz="5" w:space="0" w:color="000000"/>
            </w:tcBorders>
          </w:tcPr>
          <w:p/>
        </w:tc>
      </w:tr>
      <w:tr>
        <w:trPr>
          <w:trHeight w:hRule="exact" w:val="71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Обеспечение печатной продукцией по вопросам здорового питания (журналы, брошюры, буклеты, плакаты) не менее 5 Муниципальных образований Ямало-Ненецкого автономного округа.</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150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руководителя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49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организации надзора, социально-гигиенического мониторинга, лицензирования и государственной регистрации</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688"/>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50</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9</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Обеспечено не менее 10 демонстраций (передач) рекламно-информационных материалов по телевидению, радио и в информационно-телекоммуникационной сети «Интернет» и не менее 2 рекламно-информационных материалов по вопросам здорового питания.</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организации надзора, социально-гигиенического мониторинга, лицензирования и государственной регистрации</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97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54</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Обеспечено наполнение системы мониторинга за состоянием питания различных групп населения в регионах новыми аналитическими данными по оценке состояния питания населения.</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55</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1218"/>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57</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руководителя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286"/>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144"/>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430"/>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Подведены итоги информационно-коммуникационной кампании. </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Внедрены корпоративные программы, содержащие наилучшие практики по укреплению здоровья работников в муниципальных образованиях Ямало-Ненецкого автономного округа.</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62</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6"/>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Проведена оценка результатов (эффективности) информационно-коммуникационной кампании по вопросам здорового питания с использованием основных коммуникационных каналов для всех целевых аудиторий.</w:t>
            </w:r>
          </w:p>
          <w:p/>
        </w:tc>
        <w:tc>
          <w:tcPr>
            <w:tcW w:w="14" w:type="dxa"/>
            <w:tcBorders>
              <w:left w:val="single" w:sz="5" w:space="0" w:color="000000"/>
            </w:tcBorders>
          </w:tcPr>
          <w:p/>
        </w:tc>
      </w:tr>
      <w:tr>
        <w:trPr>
          <w:trHeight w:hRule="exact" w:val="1247"/>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63</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64</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430"/>
        </w:trPr>
        <w:tc>
          <w:tcPr>
            <w:tcW w:w="716"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65</w:t>
            </w:r>
          </w:p>
        </w:tc>
        <w:tc>
          <w:tcPr>
            <w:tcW w:w="3439"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 В. В.</w:t>
            </w:r>
          </w:p>
        </w:tc>
        <w:tc>
          <w:tcPr>
            <w:tcW w:w="3295"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Главный врач</w:t>
            </w:r>
          </w:p>
        </w:tc>
        <w:tc>
          <w:tcPr>
            <w:tcW w:w="2866" w:type="dxa"/>
            <w:gridSpan w:val="2"/>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287"/>
        </w:trPr>
        <w:tc>
          <w:tcPr>
            <w:tcW w:w="15618" w:type="dxa"/>
            <w:gridSpan w:val="8"/>
            <w:vMerge w:val="restart"/>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11</w:t>
            </w:r>
          </w:p>
        </w:tc>
        <w:tc>
          <w:tcPr>
            <w:tcW w:w="14" w:type="dxa"/>
            <w:tcBorders>
              <w:left w:val="single" w:sz="5" w:space="0" w:color="000000"/>
            </w:tcBorders>
          </w:tcPr>
          <w:p/>
        </w:tc>
      </w:tr>
      <w:tr>
        <w:trPr>
          <w:trHeight w:hRule="exact" w:val="143"/>
        </w:trPr>
        <w:tc>
          <w:tcPr>
            <w:tcW w:w="15618" w:type="dxa"/>
            <w:gridSpan w:val="8"/>
            <w:vMerge/>
            <w:shd w:val="clear" w:color="auto" w:fill="auto"/>
          </w:tcPr>
          <w:p/>
        </w:tc>
        <w:tc>
          <w:tcPr>
            <w:tcW w:w="14" w:type="dxa"/>
          </w:tcPr>
          <w:p/>
        </w:tc>
      </w:tr>
      <w:tr>
        <w:trPr>
          <w:trHeight w:hRule="exact" w:val="430"/>
        </w:trPr>
        <w:tc>
          <w:tcPr>
            <w:tcW w:w="15618" w:type="dxa"/>
            <w:gridSpan w:val="8"/>
            <w:tcBorders>
              <w:bottom w:val="single" w:sz="5" w:space="0" w:color="000000"/>
            </w:tcBorders>
          </w:tcPr>
          <w:p/>
        </w:tc>
        <w:tc>
          <w:tcPr>
            <w:tcW w:w="14" w:type="dxa"/>
          </w:tcPr>
          <w:p/>
        </w:tc>
      </w:tr>
      <w:tr>
        <w:trPr>
          <w:trHeight w:hRule="exact" w:val="1762"/>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66</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Чащина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организации надзора, социально-гигиенического мониторинга, лицензирования и государственной регистрации</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5</w:t>
            </w:r>
          </w:p>
        </w:tc>
        <w:tc>
          <w:tcPr>
            <w:tcW w:w="14" w:type="dxa"/>
            <w:tcBorders>
              <w:left w:val="single" w:sz="5" w:space="0" w:color="000000"/>
            </w:tcBorders>
          </w:tcPr>
          <w:p/>
        </w:tc>
      </w:tr>
      <w:tr>
        <w:trPr>
          <w:trHeight w:hRule="exact" w:val="717"/>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Внедрены корпоративные программы, содержащие наилучшие практики по укреплению здоровья работников в муниципальных образованиях Ямало-Ненецкого автономного округа.</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67</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Директор департамента здравоохранения Ямало-Ненецкого автономного округа</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Бучкова Т.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71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68</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Токарев С.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 Главный врач</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Новиков С. В.</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15</w:t>
            </w:r>
          </w:p>
        </w:tc>
        <w:tc>
          <w:tcPr>
            <w:tcW w:w="14" w:type="dxa"/>
            <w:tcBorders>
              <w:left w:val="single" w:sz="5" w:space="0" w:color="000000"/>
            </w:tcBorders>
          </w:tcPr>
          <w:p/>
        </w:tc>
      </w:tr>
      <w:tr>
        <w:trPr>
          <w:trHeight w:hRule="exact" w:val="717"/>
        </w:trPr>
        <w:tc>
          <w:tcPr>
            <w:tcW w:w="15618" w:type="dxa"/>
            <w:gridSpan w:val="8"/>
            <w:tcMar>
              <w:top w:w="72" w:type="dxa"/>
              <w:left w:w="72" w:type="dxa"/>
              <w:right w:w="72" w:type="dxa"/>
            </w:tcMar>
            <w:vAlign w:val="center"/>
            <w:tcBorders>
              <w:top w:val="single" w:sz="5" w:space="0" w:color="000000"/>
              <w:left w:val="single" w:sz="5" w:space="0" w:color="000000"/>
              <w:bottom w:val="single" w:sz="5" w:space="0" w:color="000000"/>
              <w:right w:val="single" w:sz="5" w:space="0" w:color="000000"/>
            </w:tcBorders>
            <w:shd w:val="clear" w:color="auto" w:fill="auto"/>
          </w:tcPr>
          <w:p>
            <w:pPr>
              <w:rPr>
                <w:rFonts w:ascii="Times New Roman" w:hAnsi="Times New Roman" w:eastAsia="Times New Roman" w:cs="Times New Roman"/>
                <w:color w:val="000000"/>
                <w:sz w:val="24"/>
                <w:spacing w:val="-2"/>
              </w:rPr>
              <w:spacing w:line="230"/>
            </w:pPr>
            <w:r>
              <w:rPr>
                <w:sz w:val="24"/>
                <w:szCs w:val="24"/>
                <w:rFonts w:ascii="Times New Roman" w:hAnsi="Times New Roman" w:eastAsia="Times New Roman" w:cs="Times New Roman"/>
                <w:spacing w:val="-2"/>
              </w:rPr>
              <w:t xml:space="preserve">Обеспечено пополнение новыми приобретенными данными информационного ресурса, направленного на защиту потребителей от недостоверной информации о продукции.</w:t>
            </w:r>
          </w:p>
          <w:p/>
        </w:tc>
        <w:tc>
          <w:tcPr>
            <w:tcW w:w="14" w:type="dxa"/>
            <w:tcBorders>
              <w:left w:val="single" w:sz="5" w:space="0" w:color="000000"/>
            </w:tcBorders>
          </w:tcPr>
          <w:p/>
        </w:tc>
      </w:tr>
      <w:tr>
        <w:trPr>
          <w:trHeight w:hRule="exact" w:val="1246"/>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69</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Ответственный за достижение результата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Руководитель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20</w:t>
            </w:r>
          </w:p>
        </w:tc>
        <w:tc>
          <w:tcPr>
            <w:tcW w:w="14" w:type="dxa"/>
            <w:tcBorders>
              <w:left w:val="single" w:sz="5" w:space="0" w:color="000000"/>
            </w:tcBorders>
          </w:tcPr>
          <w:p/>
        </w:tc>
      </w:tr>
      <w:tr>
        <w:trPr>
          <w:trHeight w:hRule="exact" w:val="1505"/>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70</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Харькова Э. А.</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Заместитель руководителя Управления Роспотребнадзора по Ямало-Ненецкому автономному округу</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r>
        <w:trPr>
          <w:trHeight w:hRule="exact" w:val="974"/>
        </w:trPr>
        <w:tc>
          <w:tcPr>
            <w:tcW w:w="716"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71</w:t>
            </w:r>
          </w:p>
        </w:tc>
        <w:tc>
          <w:tcPr>
            <w:tcW w:w="3439"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Участник регионального проекта</w:t>
            </w:r>
          </w:p>
        </w:tc>
        <w:tc>
          <w:tcPr>
            <w:tcW w:w="3009"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Ткачева В. М.</w:t>
            </w:r>
          </w:p>
        </w:tc>
        <w:tc>
          <w:tcPr>
            <w:tcW w:w="3295"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Начальник отдела санитарного надзора и надзора на транспорте</w:t>
            </w:r>
          </w:p>
        </w:tc>
        <w:tc>
          <w:tcPr>
            <w:tcW w:w="2866" w:type="dxa"/>
            <w:gridSpan w:val="2"/>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Нечепуренко Л. А.</w:t>
            </w:r>
          </w:p>
        </w:tc>
        <w:tc>
          <w:tcPr>
            <w:tcW w:w="2293" w:type="dxa"/>
            <w:tcMar>
              <w:top w:w="72" w:type="dxa"/>
              <w:left w:w="72" w:type="dxa"/>
              <w:right w:w="72" w:type="dxa"/>
            </w:tcMar>
            <w:tcBorders>
              <w:top w:val="single" w:sz="5" w:space="0" w:color="000000"/>
              <w:left w:val="single" w:sz="5" w:space="0" w:color="000000"/>
              <w:bottom w:val="single" w:sz="5" w:space="0" w:color="000000"/>
              <w:right w:val="single" w:sz="5" w:space="0" w:color="000000"/>
            </w:tcBorders>
            <w:shd w:val="clear" w:color="auto" w:fill="auto"/>
          </w:tcPr>
          <w:p>
            <w:pPr>
              <w:spacing w:line="230"/>
              <w:jc w:val="center"/>
              <w:rPr>
                <w:rFonts w:ascii="Times New Roman" w:hAnsi="Times New Roman" w:eastAsia="Times New Roman" w:cs="Times New Roman"/>
                <w:color w:val="000000"/>
                <w:sz w:val="24"/>
                <w:spacing w:val="-2"/>
              </w:rPr>
            </w:pPr>
            <w:r>
              <w:rPr>
                <w:rFonts w:ascii="Times New Roman" w:hAnsi="Times New Roman" w:eastAsia="Times New Roman" w:cs="Times New Roman"/>
                <w:color w:val="000000"/>
                <w:sz w:val="24"/>
                <w:spacing w:val="-2"/>
              </w:rPr>
              <w:t xml:space="preserve">10</w:t>
            </w:r>
          </w:p>
        </w:tc>
        <w:tc>
          <w:tcPr>
            <w:tcW w:w="14" w:type="dxa"/>
            <w:tcBorders>
              <w:left w:val="single" w:sz="5" w:space="0" w:color="000000"/>
            </w:tcBorders>
          </w:tcPr>
          <w:p/>
        </w:tc>
      </w:tr>
    </w:tbl>
    <w:sectPr>
      <w:pgSz w:w="16834" w:h="11909" w:orient="landscape"/>
      <w:pgMar w:top="562" w:right="562" w:bottom="512" w:left="562" w:header="562" w:footer="512" w:gutter="0"/>
    </w:sectPr>
  </w:body>
</w:document>
</file>

<file path=word/fontTable.xml><?xml version="1.0" encoding="utf-8"?>
<w:fonts xmlns:r="http://schemas.openxmlformats.org/officeDocument/2006/relationships" xmlns:w="http://schemas.openxmlformats.org/wordprocessingml/2006/main">
  <w:font w:name="Times New Roman"/>
  <w:font w:name="Cambria"/>
  <w:font w:name="Arial"/>
  <w:font w:name="Calibri"/>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themeFontLang w:val="en-E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style w:type="paragraph" w:default="1" w:styleId="a">
    <w:name w:val="Normal"/>
    <w:qFormat/>
    <w:pPr>
      <w:spacing w:after="0" w:line="240" w:lineRule="auto"/>
    </w:pPr>
    <w:rPr>
      <w:sz w:val="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0" w:type="dxa"/>
        <w:bottom w:w="0" w:type="dxa"/>
        <w:right w:w="0"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Microsoft Office Word</Application>
  <Company>Stimulsoft Reports 2019.3.4 from 5 August 2019</Company>
  <Template>Normal.dotm</Template>
  <TotalTime>0</TotalTime>
  <Pages>1</Pages>
  <Words>1</Words>
  <Characters>1</Characters>
  <DocSecurity>0</DocSecurity>
  <Lines>1</Lines>
  <Paragraphs>1</Paragraphs>
  <ScaleCrop>false</ScaleCrop>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Report</dc:subject>
  <dc:creator/>
  <cp:keywords/>
  <dc:description/>
  <cp:lastModifiedBy>Stimulsoft Reports 2019.3.4 from 5 August 2019</cp:lastModifiedBy>
  <cp:revision>1</cp:revision>
  <dcterms:created xsi:type="dcterms:W3CDTF">2020-05-19T09:51:07Z</dcterms:created>
  <dcterms:modified xsi:type="dcterms:W3CDTF">2020-05-19T09:51:07Z</dcterms:modified>
</cp:coreProperties>
</file>